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917" w:rsidRPr="008C2972" w:rsidRDefault="00985D3A" w:rsidP="00E47F1E">
      <w:pPr>
        <w:pStyle w:val="Title"/>
      </w:pPr>
      <w:r>
        <w:t>NewToN</w:t>
      </w:r>
      <w:r w:rsidR="00520C68" w:rsidRPr="008C2972">
        <w:t xml:space="preserve"> –</w:t>
      </w:r>
      <w:r w:rsidR="00E47F1E" w:rsidRPr="008C2972">
        <w:t>Working Assumptions</w:t>
      </w:r>
      <w:r w:rsidR="006A5DFE" w:rsidRPr="008C2972">
        <w:t xml:space="preserve"> </w:t>
      </w:r>
    </w:p>
    <w:p w:rsidR="004129F7" w:rsidRPr="008C2972" w:rsidRDefault="00E47F1E" w:rsidP="002D0C03">
      <w:pPr>
        <w:pStyle w:val="Heading1"/>
        <w:rPr>
          <w:lang w:val="sv-SE"/>
        </w:rPr>
      </w:pPr>
      <w:r w:rsidRPr="008C2972">
        <w:rPr>
          <w:lang w:val="sv-SE"/>
        </w:rPr>
        <w:t>Introduction</w:t>
      </w:r>
    </w:p>
    <w:p w:rsidR="00550C61" w:rsidRDefault="00550C61" w:rsidP="007C4DCC">
      <w:pPr>
        <w:pStyle w:val="BodyText"/>
      </w:pPr>
      <w:r>
        <w:t>The</w:t>
      </w:r>
      <w:r w:rsidR="00CB0DA1" w:rsidRPr="008C2972">
        <w:t xml:space="preserve"> </w:t>
      </w:r>
      <w:r w:rsidR="00985D3A">
        <w:t xml:space="preserve">work item on </w:t>
      </w:r>
      <w:r w:rsidR="00985D3A" w:rsidRPr="00985D3A">
        <w:rPr>
          <w:b/>
        </w:rPr>
        <w:t>New</w:t>
      </w:r>
      <w:r w:rsidR="00985D3A">
        <w:t xml:space="preserve"> </w:t>
      </w:r>
      <w:r w:rsidR="00985D3A" w:rsidRPr="00985D3A">
        <w:rPr>
          <w:b/>
        </w:rPr>
        <w:t>T</w:t>
      </w:r>
      <w:r w:rsidR="00985D3A">
        <w:t>raining Sequences f</w:t>
      </w:r>
      <w:r w:rsidR="00985D3A" w:rsidRPr="00985D3A">
        <w:rPr>
          <w:b/>
        </w:rPr>
        <w:t>o</w:t>
      </w:r>
      <w:r w:rsidR="00985D3A">
        <w:t>r GERA</w:t>
      </w:r>
      <w:r w:rsidR="00985D3A" w:rsidRPr="00985D3A">
        <w:rPr>
          <w:b/>
        </w:rPr>
        <w:t>N</w:t>
      </w:r>
      <w:r w:rsidR="001C3652" w:rsidRPr="008C2972">
        <w:t xml:space="preserve"> (work item</w:t>
      </w:r>
      <w:r w:rsidR="00CB0DA1" w:rsidRPr="008C2972">
        <w:t xml:space="preserve"> </w:t>
      </w:r>
      <w:r w:rsidR="00985D3A">
        <w:t>code NewToN</w:t>
      </w:r>
      <w:r w:rsidR="00CB0DA1" w:rsidRPr="008C2972">
        <w:t>) was agreed in [1] at GERAN#</w:t>
      </w:r>
      <w:r w:rsidR="009F040F">
        <w:t>60</w:t>
      </w:r>
      <w:r w:rsidR="00D3520B">
        <w:t xml:space="preserve">. </w:t>
      </w:r>
    </w:p>
    <w:p w:rsidR="00FD31C9" w:rsidRDefault="00D3520B" w:rsidP="007C4DCC">
      <w:pPr>
        <w:pStyle w:val="BodyText"/>
      </w:pPr>
      <w:r>
        <w:t>The following document</w:t>
      </w:r>
      <w:r w:rsidR="00C33B14" w:rsidRPr="008C2972">
        <w:t xml:space="preserve"> </w:t>
      </w:r>
      <w:r>
        <w:t xml:space="preserve">contains </w:t>
      </w:r>
      <w:r w:rsidR="002C2151">
        <w:t xml:space="preserve">the </w:t>
      </w:r>
      <w:r>
        <w:t xml:space="preserve">status of </w:t>
      </w:r>
      <w:r w:rsidR="00DA0A47">
        <w:t xml:space="preserve">the </w:t>
      </w:r>
      <w:r w:rsidR="00C33B14" w:rsidRPr="008C2972">
        <w:t>working assumptions</w:t>
      </w:r>
      <w:r w:rsidR="00DA0A47">
        <w:t xml:space="preserve"> for the work</w:t>
      </w:r>
      <w:r w:rsidR="00550C61">
        <w:t>.</w:t>
      </w:r>
    </w:p>
    <w:p w:rsidR="00CB0504" w:rsidRDefault="00DA0A47" w:rsidP="007C4DCC">
      <w:pPr>
        <w:pStyle w:val="BodyText"/>
        <w:rPr>
          <w:color w:val="C00000"/>
        </w:rPr>
      </w:pPr>
      <w:r w:rsidRPr="00DA0A47">
        <w:rPr>
          <w:color w:val="C00000"/>
        </w:rPr>
        <w:t>The paper has been updated since the GERAN#61 closing plenary with an Annex describing the WoW to derive a final TSC.</w:t>
      </w:r>
    </w:p>
    <w:p w:rsidR="00D03967" w:rsidRPr="00DA0A47" w:rsidRDefault="00D03967" w:rsidP="007C4DCC">
      <w:pPr>
        <w:pStyle w:val="BodyText"/>
        <w:rPr>
          <w:color w:val="C00000"/>
        </w:rPr>
      </w:pPr>
      <w:r>
        <w:rPr>
          <w:color w:val="C00000"/>
        </w:rPr>
        <w:t>Also, it has been noted that some updates to the agreed working assumptions are needed for clari</w:t>
      </w:r>
      <w:r w:rsidR="001A2C52">
        <w:rPr>
          <w:color w:val="C00000"/>
        </w:rPr>
        <w:t>fication</w:t>
      </w:r>
      <w:r>
        <w:rPr>
          <w:color w:val="C00000"/>
        </w:rPr>
        <w:t xml:space="preserve">. The justification of the proposed modification is </w:t>
      </w:r>
      <w:r w:rsidRPr="00D03967">
        <w:rPr>
          <w:color w:val="C00000"/>
          <w:highlight w:val="yellow"/>
        </w:rPr>
        <w:t>highlighted in yellow</w:t>
      </w:r>
      <w:r>
        <w:rPr>
          <w:color w:val="C00000"/>
        </w:rPr>
        <w:t xml:space="preserve">, but </w:t>
      </w:r>
      <w:r w:rsidR="003F66D2">
        <w:rPr>
          <w:color w:val="C00000"/>
        </w:rPr>
        <w:t>is</w:t>
      </w:r>
      <w:r>
        <w:rPr>
          <w:color w:val="C00000"/>
        </w:rPr>
        <w:t xml:space="preserve"> to be removed from the working assumption if agreed.</w:t>
      </w:r>
    </w:p>
    <w:p w:rsidR="00E47F1E" w:rsidRDefault="00A15FB4" w:rsidP="002D0C03">
      <w:pPr>
        <w:pStyle w:val="Heading1"/>
        <w:rPr>
          <w:lang w:val="sv-SE"/>
        </w:rPr>
      </w:pPr>
      <w:r w:rsidRPr="008C2972">
        <w:rPr>
          <w:lang w:val="sv-SE"/>
        </w:rPr>
        <w:t xml:space="preserve">Proposed </w:t>
      </w:r>
      <w:r w:rsidR="00C5739B" w:rsidRPr="008C2972">
        <w:rPr>
          <w:lang w:val="sv-SE"/>
        </w:rPr>
        <w:t>W</w:t>
      </w:r>
      <w:r w:rsidR="00E47F1E" w:rsidRPr="008C2972">
        <w:rPr>
          <w:lang w:val="sv-SE"/>
        </w:rPr>
        <w:t>ork</w:t>
      </w:r>
      <w:r w:rsidR="00C5739B" w:rsidRPr="008C2972">
        <w:rPr>
          <w:lang w:val="sv-SE"/>
        </w:rPr>
        <w:t>ing A</w:t>
      </w:r>
      <w:r w:rsidR="00E47F1E" w:rsidRPr="008C2972">
        <w:rPr>
          <w:lang w:val="sv-SE"/>
        </w:rPr>
        <w:t>ssumptions</w:t>
      </w:r>
    </w:p>
    <w:p w:rsidR="00387FE3" w:rsidRPr="00533BA9" w:rsidRDefault="00387FE3" w:rsidP="002D0C03">
      <w:pPr>
        <w:pStyle w:val="Heading2"/>
        <w:rPr>
          <w:rFonts w:asciiTheme="minorHAnsi" w:hAnsiTheme="minorHAnsi" w:cstheme="minorHAnsi"/>
        </w:rPr>
      </w:pPr>
      <w:r w:rsidRPr="00533BA9">
        <w:rPr>
          <w:rFonts w:asciiTheme="minorHAnsi" w:hAnsiTheme="minorHAnsi" w:cstheme="minorHAnsi"/>
        </w:rPr>
        <w:t>Performance evaluation framework</w:t>
      </w:r>
    </w:p>
    <w:p w:rsidR="00333F9F" w:rsidRPr="00333F9F" w:rsidRDefault="00333F9F" w:rsidP="00333F9F">
      <w:pPr>
        <w:pStyle w:val="BodyText"/>
      </w:pPr>
    </w:p>
    <w:tbl>
      <w:tblPr>
        <w:tblW w:w="137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9639"/>
        <w:gridCol w:w="993"/>
        <w:gridCol w:w="992"/>
        <w:gridCol w:w="1701"/>
      </w:tblGrid>
      <w:tr w:rsidR="00387FE3" w:rsidRPr="00387FE3" w:rsidTr="00B45C27">
        <w:tc>
          <w:tcPr>
            <w:tcW w:w="425" w:type="dxa"/>
            <w:vMerge w:val="restart"/>
            <w:shd w:val="clear" w:color="auto" w:fill="DBE5F1"/>
          </w:tcPr>
          <w:p w:rsidR="00387FE3" w:rsidRPr="00387FE3" w:rsidRDefault="00387FE3" w:rsidP="00785F6E">
            <w:pPr>
              <w:spacing w:after="0"/>
              <w:rPr>
                <w:rFonts w:cs="Calibri"/>
                <w:b/>
                <w:sz w:val="20"/>
                <w:szCs w:val="18"/>
                <w:lang w:val="sv-SE"/>
              </w:rPr>
            </w:pPr>
            <w:r w:rsidRPr="00387FE3">
              <w:rPr>
                <w:rFonts w:cs="Calibri"/>
                <w:b/>
                <w:sz w:val="20"/>
                <w:szCs w:val="18"/>
                <w:lang w:val="sv-SE"/>
              </w:rPr>
              <w:t>#</w:t>
            </w:r>
          </w:p>
        </w:tc>
        <w:tc>
          <w:tcPr>
            <w:tcW w:w="9639" w:type="dxa"/>
            <w:vMerge w:val="restart"/>
            <w:shd w:val="clear" w:color="auto" w:fill="DBE5F1"/>
          </w:tcPr>
          <w:p w:rsidR="00387FE3" w:rsidRPr="00387FE3" w:rsidRDefault="00387FE3" w:rsidP="00785F6E">
            <w:pPr>
              <w:spacing w:after="0"/>
              <w:rPr>
                <w:rFonts w:cs="Calibri"/>
                <w:b/>
                <w:sz w:val="20"/>
                <w:szCs w:val="18"/>
                <w:lang w:val="sv-SE"/>
              </w:rPr>
            </w:pPr>
            <w:r w:rsidRPr="00387FE3">
              <w:rPr>
                <w:rFonts w:cs="Calibri"/>
                <w:b/>
                <w:sz w:val="20"/>
                <w:szCs w:val="18"/>
                <w:lang w:val="sv-SE"/>
              </w:rPr>
              <w:t>WA</w:t>
            </w:r>
          </w:p>
        </w:tc>
        <w:tc>
          <w:tcPr>
            <w:tcW w:w="1985" w:type="dxa"/>
            <w:gridSpan w:val="2"/>
            <w:shd w:val="clear" w:color="auto" w:fill="DBE5F1"/>
          </w:tcPr>
          <w:p w:rsidR="00387FE3" w:rsidRPr="00387FE3" w:rsidRDefault="00387FE3" w:rsidP="00785F6E">
            <w:pPr>
              <w:spacing w:after="0"/>
              <w:jc w:val="center"/>
              <w:rPr>
                <w:rFonts w:cs="Calibri"/>
                <w:b/>
                <w:sz w:val="20"/>
                <w:szCs w:val="18"/>
                <w:lang w:val="sv-SE"/>
              </w:rPr>
            </w:pPr>
            <w:r w:rsidRPr="00387FE3">
              <w:rPr>
                <w:rFonts w:cs="Calibri"/>
                <w:b/>
                <w:sz w:val="20"/>
                <w:szCs w:val="18"/>
                <w:lang w:val="sv-SE"/>
              </w:rPr>
              <w:t>Status</w:t>
            </w:r>
          </w:p>
        </w:tc>
        <w:tc>
          <w:tcPr>
            <w:tcW w:w="1701" w:type="dxa"/>
            <w:vMerge w:val="restart"/>
            <w:shd w:val="clear" w:color="auto" w:fill="DBE5F1"/>
          </w:tcPr>
          <w:p w:rsidR="00387FE3" w:rsidRPr="00387FE3" w:rsidRDefault="00387FE3" w:rsidP="00550C61">
            <w:pPr>
              <w:spacing w:after="0"/>
              <w:jc w:val="center"/>
              <w:rPr>
                <w:rFonts w:cs="Calibri"/>
                <w:b/>
                <w:sz w:val="20"/>
                <w:szCs w:val="18"/>
              </w:rPr>
            </w:pPr>
            <w:r w:rsidRPr="00387FE3">
              <w:rPr>
                <w:rFonts w:cs="Calibri"/>
                <w:b/>
                <w:sz w:val="20"/>
                <w:szCs w:val="18"/>
              </w:rPr>
              <w:t xml:space="preserve">Related </w:t>
            </w:r>
            <w:r w:rsidRPr="00387FE3">
              <w:rPr>
                <w:rFonts w:cs="Calibri"/>
                <w:b/>
                <w:sz w:val="20"/>
                <w:szCs w:val="18"/>
              </w:rPr>
              <w:br/>
              <w:t xml:space="preserve">discussion </w:t>
            </w:r>
            <w:r w:rsidRPr="00387FE3">
              <w:rPr>
                <w:rFonts w:cs="Calibri"/>
                <w:b/>
                <w:sz w:val="20"/>
                <w:szCs w:val="18"/>
              </w:rPr>
              <w:br/>
              <w:t>paper(s)</w:t>
            </w:r>
          </w:p>
        </w:tc>
      </w:tr>
      <w:tr w:rsidR="00387FE3" w:rsidRPr="00387FE3" w:rsidTr="00B45C27">
        <w:tc>
          <w:tcPr>
            <w:tcW w:w="425" w:type="dxa"/>
            <w:vMerge/>
            <w:shd w:val="clear" w:color="auto" w:fill="DBE5F1"/>
          </w:tcPr>
          <w:p w:rsidR="00387FE3" w:rsidRPr="00387FE3" w:rsidRDefault="00387FE3" w:rsidP="00785F6E">
            <w:pPr>
              <w:spacing w:after="0"/>
              <w:rPr>
                <w:rFonts w:cs="Calibri"/>
                <w:sz w:val="20"/>
                <w:szCs w:val="18"/>
              </w:rPr>
            </w:pPr>
          </w:p>
        </w:tc>
        <w:tc>
          <w:tcPr>
            <w:tcW w:w="9639" w:type="dxa"/>
            <w:vMerge/>
            <w:shd w:val="clear" w:color="auto" w:fill="DBE5F1"/>
          </w:tcPr>
          <w:p w:rsidR="00387FE3" w:rsidRPr="00387FE3" w:rsidRDefault="00387FE3" w:rsidP="00785F6E">
            <w:pPr>
              <w:spacing w:after="0"/>
              <w:rPr>
                <w:rFonts w:cs="Calibri"/>
                <w:sz w:val="20"/>
                <w:szCs w:val="18"/>
              </w:rPr>
            </w:pPr>
          </w:p>
        </w:tc>
        <w:tc>
          <w:tcPr>
            <w:tcW w:w="993" w:type="dxa"/>
            <w:shd w:val="clear" w:color="auto" w:fill="DBE5F1"/>
          </w:tcPr>
          <w:p w:rsidR="00387FE3" w:rsidRPr="00387FE3" w:rsidRDefault="00387FE3" w:rsidP="00785F6E">
            <w:pPr>
              <w:spacing w:after="0"/>
              <w:jc w:val="center"/>
              <w:rPr>
                <w:rFonts w:cs="Calibri"/>
                <w:b/>
                <w:sz w:val="20"/>
                <w:szCs w:val="18"/>
              </w:rPr>
            </w:pPr>
            <w:r w:rsidRPr="00387FE3">
              <w:rPr>
                <w:rFonts w:cs="Calibri"/>
                <w:b/>
                <w:sz w:val="20"/>
                <w:szCs w:val="18"/>
              </w:rPr>
              <w:t>WG1</w:t>
            </w:r>
          </w:p>
        </w:tc>
        <w:tc>
          <w:tcPr>
            <w:tcW w:w="992" w:type="dxa"/>
            <w:shd w:val="clear" w:color="auto" w:fill="DBE5F1"/>
          </w:tcPr>
          <w:p w:rsidR="00387FE3" w:rsidRPr="00387FE3" w:rsidRDefault="00387FE3" w:rsidP="00785F6E">
            <w:pPr>
              <w:spacing w:after="0"/>
              <w:jc w:val="center"/>
              <w:rPr>
                <w:rFonts w:cs="Calibri"/>
                <w:b/>
                <w:sz w:val="20"/>
                <w:szCs w:val="18"/>
              </w:rPr>
            </w:pPr>
            <w:r w:rsidRPr="00387FE3">
              <w:rPr>
                <w:rFonts w:cs="Calibri"/>
                <w:b/>
                <w:sz w:val="20"/>
                <w:szCs w:val="18"/>
              </w:rPr>
              <w:t>WG2</w:t>
            </w:r>
          </w:p>
        </w:tc>
        <w:tc>
          <w:tcPr>
            <w:tcW w:w="1701" w:type="dxa"/>
            <w:vMerge/>
            <w:shd w:val="clear" w:color="auto" w:fill="DBE5F1"/>
          </w:tcPr>
          <w:p w:rsidR="00387FE3" w:rsidRPr="00387FE3" w:rsidRDefault="00387FE3" w:rsidP="00550C61">
            <w:pPr>
              <w:spacing w:after="0"/>
              <w:jc w:val="center"/>
              <w:rPr>
                <w:rFonts w:cs="Calibri"/>
                <w:sz w:val="20"/>
                <w:szCs w:val="18"/>
              </w:rPr>
            </w:pPr>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sidRPr="00387FE3">
              <w:rPr>
                <w:rFonts w:cs="Calibri"/>
                <w:sz w:val="20"/>
                <w:szCs w:val="18"/>
              </w:rPr>
              <w:t>1</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The final performance evaluation shall only be based on simulations using a commonly agreed framework</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9"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2</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If a TSC set is proposed by a contributing company, performance evaluation is required for the proposed TSC set, and all other TSC sets proposed by other companies.</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10"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3</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No more than one complete TSC set shall be proposed by each contributing company</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11"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4</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Each company evaluating performance shall evaluate the performance using at least one receiver implementation expected in real network operation (which BTS and/or MS receiver architectures to use are not commonly agreed but up to each company performing the evaluation). Only one representative set of performance figures shall be derived from the receiver(s) simulated.</w:t>
            </w:r>
          </w:p>
          <w:p w:rsidR="00387FE3" w:rsidRPr="00387FE3" w:rsidRDefault="00387FE3" w:rsidP="00387FE3">
            <w:pPr>
              <w:spacing w:after="0"/>
              <w:rPr>
                <w:rFonts w:cs="Calibri"/>
                <w:sz w:val="20"/>
                <w:szCs w:val="18"/>
              </w:rPr>
            </w:pPr>
            <w:r w:rsidRPr="00387FE3">
              <w:rPr>
                <w:rFonts w:cs="Calibri"/>
                <w:sz w:val="20"/>
                <w:szCs w:val="18"/>
              </w:rPr>
              <w:lastRenderedPageBreak/>
              <w:t>Note: A chosen receiver implementation shall be used to evaluate all proposed TSC sets.</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lastRenderedPageBreak/>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12"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lastRenderedPageBreak/>
              <w:t>5</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Each company evaluating performance shall evaluate the performance in at least one of: CS+EGPRS, or, CS+EGPRS+EGPRS2-A.</w:t>
            </w:r>
          </w:p>
          <w:p w:rsidR="00387FE3" w:rsidRPr="00387FE3" w:rsidRDefault="00387FE3" w:rsidP="00387FE3">
            <w:pPr>
              <w:spacing w:after="0"/>
              <w:rPr>
                <w:rFonts w:cs="Calibri"/>
                <w:sz w:val="20"/>
                <w:szCs w:val="18"/>
              </w:rPr>
            </w:pPr>
            <w:r w:rsidRPr="00387FE3">
              <w:rPr>
                <w:rFonts w:cs="Calibri"/>
                <w:sz w:val="20"/>
                <w:szCs w:val="18"/>
              </w:rPr>
              <w:t>Note: If only CS+EGPRS services are evaluated, the interfering modulation need not include rotated 16QAM(UL/DL) and 32QAM(DL) with a TSC included.</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13"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6</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If the final performance figure (considering all evaluations from all companies) of the best TSC set (a complete TSC design from one company) is less than (&lt;) 0.1 dB better than the second best TSC set, a TSC set is randomly chosen (by blind draw by the GERAN WG1 secretary) from all TSC sets whose final performance figure is less than 0.1 dB worse than the best TSC set.</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14"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7</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The performance shall only be evaluated in the 900 MHz frequency band.</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15"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8</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The different interferer/noise scenarios shall be investigated in propagation conditions TU50nFH (sensitivity and interference) and HT100nFH (sensitivity)</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16"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9</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The performance shall be evaluated in:</w:t>
            </w:r>
          </w:p>
          <w:p w:rsidR="00387FE3" w:rsidRPr="00387FE3" w:rsidRDefault="00387FE3" w:rsidP="00387FE3">
            <w:pPr>
              <w:spacing w:after="0"/>
              <w:rPr>
                <w:rFonts w:cs="Calibri"/>
                <w:sz w:val="20"/>
                <w:szCs w:val="18"/>
              </w:rPr>
            </w:pPr>
            <w:r w:rsidRPr="00387FE3">
              <w:rPr>
                <w:rFonts w:cs="Calibri"/>
                <w:sz w:val="20"/>
                <w:szCs w:val="18"/>
              </w:rPr>
              <w:t>•</w:t>
            </w:r>
            <w:r w:rsidRPr="00387FE3">
              <w:rPr>
                <w:rFonts w:cs="Calibri"/>
                <w:sz w:val="20"/>
                <w:szCs w:val="18"/>
              </w:rPr>
              <w:tab/>
              <w:t>Sensitivity (Auto correlation)</w:t>
            </w:r>
          </w:p>
          <w:p w:rsidR="00387FE3" w:rsidRPr="00387FE3" w:rsidRDefault="00387FE3" w:rsidP="00387FE3">
            <w:pPr>
              <w:spacing w:after="0"/>
              <w:rPr>
                <w:rFonts w:cs="Calibri"/>
                <w:sz w:val="20"/>
                <w:szCs w:val="18"/>
              </w:rPr>
            </w:pPr>
            <w:r w:rsidRPr="00387FE3">
              <w:rPr>
                <w:rFonts w:cs="Calibri"/>
                <w:sz w:val="20"/>
                <w:szCs w:val="18"/>
              </w:rPr>
              <w:t>•</w:t>
            </w:r>
            <w:r w:rsidRPr="00387FE3">
              <w:rPr>
                <w:rFonts w:cs="Calibri"/>
                <w:sz w:val="20"/>
                <w:szCs w:val="18"/>
              </w:rPr>
              <w:tab/>
              <w:t>CCI (Cross correlation)</w:t>
            </w:r>
          </w:p>
          <w:p w:rsidR="00387FE3" w:rsidRPr="00387FE3" w:rsidRDefault="00387FE3" w:rsidP="00387FE3">
            <w:pPr>
              <w:spacing w:after="0"/>
              <w:rPr>
                <w:rFonts w:cs="Calibri"/>
                <w:sz w:val="20"/>
                <w:szCs w:val="18"/>
              </w:rPr>
            </w:pPr>
            <w:r w:rsidRPr="00387FE3">
              <w:rPr>
                <w:rFonts w:cs="Calibri"/>
                <w:sz w:val="20"/>
                <w:szCs w:val="18"/>
              </w:rPr>
              <w:t>•</w:t>
            </w:r>
            <w:r w:rsidRPr="00387FE3">
              <w:rPr>
                <w:rFonts w:cs="Calibri"/>
                <w:sz w:val="20"/>
                <w:szCs w:val="18"/>
              </w:rPr>
              <w:tab/>
              <w:t>ACI at +200 kHz (Cross correlation)</w:t>
            </w:r>
          </w:p>
          <w:p w:rsidR="00387FE3" w:rsidRPr="00387FE3" w:rsidRDefault="00387FE3" w:rsidP="00387FE3">
            <w:pPr>
              <w:spacing w:after="0"/>
              <w:rPr>
                <w:rFonts w:cs="Calibri"/>
                <w:sz w:val="20"/>
                <w:szCs w:val="18"/>
              </w:rPr>
            </w:pPr>
            <w:r w:rsidRPr="00387FE3">
              <w:rPr>
                <w:rFonts w:cs="Calibri"/>
                <w:sz w:val="20"/>
                <w:szCs w:val="18"/>
              </w:rPr>
              <w:t>•</w:t>
            </w:r>
            <w:r w:rsidRPr="00387FE3">
              <w:rPr>
                <w:rFonts w:cs="Calibri"/>
                <w:sz w:val="20"/>
                <w:szCs w:val="18"/>
              </w:rPr>
              <w:tab/>
              <w:t>ACI at -200 kHz (Cross correlation)</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17"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10</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The non-ideal time synchronization model used for VAMOS UL shall apply only for the wanted signals in VAMOS UL simulations</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18"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11</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The time shift models (separate models for CCI and ACI) as proposed in Table 1 shall be used in the performance evaluation with the delay applied independently per burst.</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19"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12</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 xml:space="preserve">Wanted signal: </w:t>
            </w:r>
          </w:p>
          <w:p w:rsidR="00387FE3" w:rsidRPr="00387FE3" w:rsidRDefault="00387FE3" w:rsidP="00387FE3">
            <w:pPr>
              <w:spacing w:after="0"/>
              <w:rPr>
                <w:rFonts w:cs="Calibri"/>
                <w:sz w:val="20"/>
                <w:szCs w:val="18"/>
              </w:rPr>
            </w:pPr>
            <w:r w:rsidRPr="00387FE3">
              <w:rPr>
                <w:rFonts w:cs="Calibri"/>
                <w:sz w:val="20"/>
                <w:szCs w:val="18"/>
              </w:rPr>
              <w:t xml:space="preserve">Sensitivity: Performance is evaluated with the new TSC set assigned </w:t>
            </w:r>
          </w:p>
          <w:p w:rsidR="00387FE3" w:rsidRPr="00387FE3" w:rsidRDefault="00387FE3" w:rsidP="00387FE3">
            <w:pPr>
              <w:spacing w:after="0"/>
              <w:rPr>
                <w:rFonts w:cs="Calibri"/>
                <w:sz w:val="20"/>
                <w:szCs w:val="18"/>
              </w:rPr>
            </w:pPr>
            <w:r w:rsidRPr="00387FE3">
              <w:rPr>
                <w:rFonts w:cs="Calibri"/>
                <w:sz w:val="20"/>
                <w:szCs w:val="18"/>
              </w:rPr>
              <w:t>Interference: Performance is evaluated with the new TSC set assigned (both legacy TSC and new TSCs interfering) and with legacy TSC set assigned (only new TSCs interfering).</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20"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13</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 xml:space="preserve">Interfering signal: All TSCs (CCI: All TSCs except the one assigned the wanted signal, ACI: All TSCs) are assumed to interfere each assigned wanted signal (including both legacy TSC set and new TSC sets for different modulations). </w:t>
            </w:r>
          </w:p>
          <w:p w:rsidR="00387FE3" w:rsidRPr="00387FE3" w:rsidRDefault="00387FE3" w:rsidP="00387FE3">
            <w:pPr>
              <w:spacing w:after="0"/>
              <w:rPr>
                <w:rFonts w:cs="Calibri"/>
                <w:sz w:val="20"/>
                <w:szCs w:val="18"/>
              </w:rPr>
            </w:pPr>
          </w:p>
          <w:p w:rsidR="00387FE3" w:rsidRPr="00387FE3" w:rsidRDefault="00387FE3" w:rsidP="00387FE3">
            <w:pPr>
              <w:spacing w:after="0"/>
              <w:rPr>
                <w:rFonts w:cs="Calibri"/>
                <w:sz w:val="20"/>
                <w:szCs w:val="18"/>
              </w:rPr>
            </w:pPr>
            <w:r w:rsidRPr="00387FE3">
              <w:rPr>
                <w:rFonts w:cs="Calibri"/>
                <w:sz w:val="20"/>
                <w:szCs w:val="18"/>
              </w:rPr>
              <w:t xml:space="preserve">Note: All legacy TSCs in this regard includes the normal burst TSCs defined in 3GPP TS 45.002 for NSR, as well as the </w:t>
            </w:r>
            <w:r w:rsidRPr="00387FE3">
              <w:rPr>
                <w:rFonts w:cs="Calibri"/>
                <w:sz w:val="20"/>
                <w:szCs w:val="18"/>
              </w:rPr>
              <w:lastRenderedPageBreak/>
              <w:t>dummy burst as defined in subclause 5.2.6.</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lastRenderedPageBreak/>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21"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61499B" w:rsidRDefault="00387FE3" w:rsidP="00785F6E">
            <w:pPr>
              <w:spacing w:after="0"/>
              <w:rPr>
                <w:rFonts w:cs="Calibri"/>
                <w:sz w:val="20"/>
                <w:szCs w:val="18"/>
              </w:rPr>
            </w:pPr>
            <w:r w:rsidRPr="0061499B">
              <w:rPr>
                <w:rFonts w:cs="Calibri"/>
                <w:sz w:val="20"/>
                <w:szCs w:val="18"/>
              </w:rPr>
              <w:lastRenderedPageBreak/>
              <w:t>14</w:t>
            </w:r>
          </w:p>
        </w:tc>
        <w:tc>
          <w:tcPr>
            <w:tcW w:w="9639" w:type="dxa"/>
            <w:shd w:val="clear" w:color="auto" w:fill="auto"/>
          </w:tcPr>
          <w:p w:rsidR="00387FE3" w:rsidRPr="0061499B" w:rsidRDefault="00387FE3" w:rsidP="00387FE3">
            <w:pPr>
              <w:spacing w:after="0"/>
              <w:rPr>
                <w:rFonts w:cs="Calibri"/>
                <w:sz w:val="20"/>
                <w:szCs w:val="18"/>
              </w:rPr>
            </w:pPr>
            <w:r w:rsidRPr="0061499B">
              <w:rPr>
                <w:rFonts w:cs="Calibri"/>
                <w:sz w:val="20"/>
                <w:szCs w:val="18"/>
              </w:rPr>
              <w:t>All TSC combinations shall be evaluated at a raw BER level of 5% except for 16QAM and 32QAM where 1 % shall be used</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22"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61499B" w:rsidRDefault="00387FE3" w:rsidP="00785F6E">
            <w:pPr>
              <w:spacing w:after="0"/>
              <w:rPr>
                <w:rFonts w:cs="Calibri"/>
                <w:sz w:val="20"/>
                <w:szCs w:val="18"/>
              </w:rPr>
            </w:pPr>
            <w:r w:rsidRPr="0061499B">
              <w:rPr>
                <w:rFonts w:cs="Calibri"/>
                <w:sz w:val="20"/>
                <w:szCs w:val="18"/>
              </w:rPr>
              <w:t>15</w:t>
            </w:r>
          </w:p>
        </w:tc>
        <w:tc>
          <w:tcPr>
            <w:tcW w:w="9639" w:type="dxa"/>
            <w:shd w:val="clear" w:color="auto" w:fill="auto"/>
          </w:tcPr>
          <w:p w:rsidR="00387FE3" w:rsidRPr="0061499B" w:rsidRDefault="00387FE3" w:rsidP="00387FE3">
            <w:pPr>
              <w:spacing w:after="0"/>
              <w:rPr>
                <w:rFonts w:cs="Calibri"/>
                <w:sz w:val="20"/>
                <w:szCs w:val="18"/>
              </w:rPr>
            </w:pPr>
            <w:r w:rsidRPr="0061499B">
              <w:rPr>
                <w:rFonts w:cs="Calibri"/>
                <w:sz w:val="20"/>
                <w:szCs w:val="18"/>
              </w:rPr>
              <w:t>The distance between two simulation points used for interpolation shall not be more than 2 dB</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23"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61499B" w:rsidRDefault="00387FE3" w:rsidP="00785F6E">
            <w:pPr>
              <w:spacing w:after="0"/>
              <w:rPr>
                <w:rFonts w:cs="Calibri"/>
                <w:sz w:val="20"/>
                <w:szCs w:val="18"/>
              </w:rPr>
            </w:pPr>
            <w:r w:rsidRPr="0061499B">
              <w:rPr>
                <w:rFonts w:cs="Calibri"/>
                <w:sz w:val="20"/>
                <w:szCs w:val="18"/>
              </w:rPr>
              <w:t>16</w:t>
            </w:r>
          </w:p>
        </w:tc>
        <w:tc>
          <w:tcPr>
            <w:tcW w:w="9639" w:type="dxa"/>
            <w:shd w:val="clear" w:color="auto" w:fill="auto"/>
          </w:tcPr>
          <w:p w:rsidR="00387FE3" w:rsidRPr="0061499B" w:rsidRDefault="00387FE3" w:rsidP="00387FE3">
            <w:pPr>
              <w:spacing w:after="0"/>
              <w:rPr>
                <w:rFonts w:cs="Calibri"/>
                <w:sz w:val="20"/>
                <w:szCs w:val="18"/>
              </w:rPr>
            </w:pPr>
            <w:r w:rsidRPr="0061499B">
              <w:rPr>
                <w:rFonts w:cs="Calibri"/>
                <w:sz w:val="20"/>
                <w:szCs w:val="18"/>
              </w:rPr>
              <w:t>Each simulation point shall be simulated using at least 4000 bursts.</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24"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61499B" w:rsidRDefault="00387FE3" w:rsidP="00785F6E">
            <w:pPr>
              <w:spacing w:after="0"/>
              <w:rPr>
                <w:rFonts w:cs="Calibri"/>
                <w:sz w:val="20"/>
                <w:szCs w:val="18"/>
              </w:rPr>
            </w:pPr>
            <w:r w:rsidRPr="0061499B">
              <w:rPr>
                <w:rFonts w:cs="Calibri"/>
                <w:sz w:val="20"/>
                <w:szCs w:val="18"/>
              </w:rPr>
              <w:t>17</w:t>
            </w:r>
          </w:p>
        </w:tc>
        <w:tc>
          <w:tcPr>
            <w:tcW w:w="9639" w:type="dxa"/>
            <w:shd w:val="clear" w:color="auto" w:fill="auto"/>
          </w:tcPr>
          <w:p w:rsidR="00387FE3" w:rsidRDefault="00387FE3" w:rsidP="00387FE3">
            <w:pPr>
              <w:spacing w:after="0"/>
              <w:rPr>
                <w:rFonts w:cs="Calibri"/>
                <w:sz w:val="20"/>
                <w:szCs w:val="18"/>
              </w:rPr>
            </w:pPr>
            <w:r w:rsidRPr="0061499B">
              <w:rPr>
                <w:rFonts w:cs="Calibri"/>
                <w:sz w:val="20"/>
                <w:szCs w:val="18"/>
              </w:rPr>
              <w:t>For a given TSC proposal, for each company evaluation: For each simulated carrier modulation, and, in case of interference simulations, interference type and interferer modulation, all intersection points (dB) are converted to linear values and averaged to arrive at a performance metric (dB).</w:t>
            </w:r>
          </w:p>
          <w:p w:rsidR="00D46B0F" w:rsidRDefault="00D46B0F" w:rsidP="00387FE3">
            <w:pPr>
              <w:spacing w:after="0"/>
              <w:rPr>
                <w:rFonts w:cs="Calibri"/>
                <w:sz w:val="20"/>
                <w:szCs w:val="18"/>
              </w:rPr>
            </w:pPr>
          </w:p>
          <w:p w:rsidR="00D46B0F" w:rsidRPr="0061499B" w:rsidRDefault="00D46B0F" w:rsidP="00E21200">
            <w:pPr>
              <w:spacing w:after="0"/>
              <w:rPr>
                <w:rFonts w:cs="Calibri"/>
                <w:sz w:val="20"/>
                <w:szCs w:val="18"/>
              </w:rPr>
            </w:pPr>
            <w:r w:rsidRPr="00D46B0F">
              <w:rPr>
                <w:rFonts w:cs="Calibri"/>
                <w:color w:val="C0504D" w:themeColor="accent2"/>
                <w:sz w:val="20"/>
                <w:szCs w:val="18"/>
              </w:rPr>
              <w:t>In case of sensitivity limited simulations the intersection points are averaged separately for HT and TU propagation profile</w:t>
            </w:r>
            <w:r w:rsidR="00E21200">
              <w:rPr>
                <w:rFonts w:cs="Calibri"/>
                <w:color w:val="C0504D" w:themeColor="accent2"/>
                <w:sz w:val="20"/>
                <w:szCs w:val="18"/>
              </w:rPr>
              <w:t>, converted to dB, and weighted</w:t>
            </w:r>
            <w:r w:rsidRPr="00D46B0F">
              <w:rPr>
                <w:rFonts w:cs="Calibri"/>
                <w:color w:val="C0504D" w:themeColor="accent2"/>
                <w:sz w:val="20"/>
                <w:szCs w:val="18"/>
              </w:rPr>
              <w:t xml:space="preserve"> </w:t>
            </w:r>
            <w:r w:rsidR="00E21200">
              <w:rPr>
                <w:rFonts w:cs="Calibri"/>
                <w:color w:val="C0504D" w:themeColor="accent2"/>
                <w:sz w:val="20"/>
                <w:szCs w:val="18"/>
              </w:rPr>
              <w:t>according</w:t>
            </w:r>
            <w:r w:rsidRPr="00D46B0F">
              <w:rPr>
                <w:rFonts w:cs="Calibri"/>
                <w:color w:val="C0504D" w:themeColor="accent2"/>
                <w:sz w:val="20"/>
                <w:szCs w:val="18"/>
              </w:rPr>
              <w:t xml:space="preserve"> </w:t>
            </w:r>
            <w:r w:rsidR="00E21200">
              <w:rPr>
                <w:rFonts w:cs="Calibri"/>
                <w:color w:val="C0504D" w:themeColor="accent2"/>
                <w:sz w:val="20"/>
                <w:szCs w:val="18"/>
              </w:rPr>
              <w:t>to</w:t>
            </w:r>
            <w:r w:rsidRPr="00D46B0F">
              <w:rPr>
                <w:rFonts w:cs="Calibri"/>
                <w:color w:val="C0504D" w:themeColor="accent2"/>
                <w:sz w:val="20"/>
                <w:szCs w:val="18"/>
              </w:rPr>
              <w:t xml:space="preserve"> TU: 70%, HT: 30%, to arrive at a representative value for both propagation channels</w:t>
            </w:r>
          </w:p>
        </w:tc>
        <w:tc>
          <w:tcPr>
            <w:tcW w:w="993" w:type="dxa"/>
            <w:shd w:val="clear" w:color="auto" w:fill="auto"/>
          </w:tcPr>
          <w:p w:rsidR="00387FE3" w:rsidRPr="003F6345" w:rsidRDefault="00387FE3" w:rsidP="00785F6E">
            <w:pPr>
              <w:spacing w:after="0"/>
              <w:jc w:val="center"/>
              <w:rPr>
                <w:rFonts w:cs="Calibri"/>
                <w:sz w:val="20"/>
                <w:szCs w:val="18"/>
              </w:rPr>
            </w:pPr>
            <w:r w:rsidRPr="003F6345">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25"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61499B" w:rsidRDefault="00387FE3" w:rsidP="00785F6E">
            <w:pPr>
              <w:spacing w:after="0"/>
              <w:rPr>
                <w:rFonts w:cs="Calibri"/>
                <w:sz w:val="20"/>
                <w:szCs w:val="18"/>
              </w:rPr>
            </w:pPr>
            <w:r w:rsidRPr="0061499B">
              <w:rPr>
                <w:rFonts w:cs="Calibri"/>
                <w:sz w:val="20"/>
                <w:szCs w:val="18"/>
              </w:rPr>
              <w:t>18</w:t>
            </w:r>
          </w:p>
        </w:tc>
        <w:tc>
          <w:tcPr>
            <w:tcW w:w="9639" w:type="dxa"/>
            <w:shd w:val="clear" w:color="auto" w:fill="auto"/>
          </w:tcPr>
          <w:p w:rsidR="00387FE3" w:rsidRDefault="00387FE3" w:rsidP="00387FE3">
            <w:pPr>
              <w:spacing w:after="0"/>
              <w:rPr>
                <w:rFonts w:cs="Calibri"/>
                <w:sz w:val="20"/>
                <w:szCs w:val="18"/>
              </w:rPr>
            </w:pPr>
            <w:r w:rsidRPr="0061499B">
              <w:rPr>
                <w:rFonts w:cs="Calibri"/>
                <w:sz w:val="20"/>
                <w:szCs w:val="18"/>
              </w:rPr>
              <w:t>For all TSC proposals, for each company evaluation: The dB-deviation of each proposed TSC set from the averaged performance of all TSC proposals is recorded for each carrier modulation and scenario simulated (see WA 17).</w:t>
            </w:r>
          </w:p>
          <w:p w:rsidR="00D46B0F" w:rsidRDefault="00D46B0F" w:rsidP="00387FE3">
            <w:pPr>
              <w:spacing w:after="0"/>
              <w:rPr>
                <w:rFonts w:cs="Calibri"/>
                <w:sz w:val="20"/>
                <w:szCs w:val="18"/>
              </w:rPr>
            </w:pPr>
          </w:p>
          <w:p w:rsidR="00D46B0F" w:rsidRPr="0061499B" w:rsidRDefault="00D46B0F" w:rsidP="00387FE3">
            <w:pPr>
              <w:spacing w:after="0"/>
              <w:rPr>
                <w:rFonts w:cs="Calibri"/>
                <w:sz w:val="20"/>
                <w:szCs w:val="18"/>
              </w:rPr>
            </w:pP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26"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19</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For a given TSC proposal, for each company evaluation: All carrier modulations (see WA 5) shall be evaluated in sensitivity. All carrier modulations (see WA5) excluding AQPSK, shall be evaluated in interference.</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27"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20</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 xml:space="preserve">For a given TSC proposal, for each company evaluation: The carrier evaluation for VAMOS shall be simulated for </w:t>
            </w:r>
          </w:p>
          <w:p w:rsidR="00387FE3" w:rsidRPr="00387FE3" w:rsidRDefault="00387FE3" w:rsidP="00387FE3">
            <w:pPr>
              <w:spacing w:after="0"/>
              <w:rPr>
                <w:rFonts w:cs="Calibri"/>
                <w:sz w:val="20"/>
                <w:szCs w:val="18"/>
              </w:rPr>
            </w:pPr>
            <w:r w:rsidRPr="00387FE3">
              <w:rPr>
                <w:rFonts w:cs="Calibri"/>
                <w:sz w:val="20"/>
                <w:szCs w:val="18"/>
              </w:rPr>
              <w:t>- SCPIR=0 and -10 dB in case of VAMOS UL</w:t>
            </w:r>
          </w:p>
          <w:p w:rsidR="00387FE3" w:rsidRPr="00387FE3" w:rsidRDefault="00387FE3" w:rsidP="00387FE3">
            <w:pPr>
              <w:spacing w:after="0"/>
              <w:rPr>
                <w:rFonts w:cs="Calibri"/>
                <w:sz w:val="20"/>
                <w:szCs w:val="18"/>
              </w:rPr>
            </w:pPr>
            <w:r w:rsidRPr="00387FE3">
              <w:rPr>
                <w:rFonts w:cs="Calibri"/>
                <w:sz w:val="20"/>
                <w:szCs w:val="18"/>
              </w:rPr>
              <w:t>- SCPIR=0,-4 dB in case of VAMOS I MS on the DL</w:t>
            </w:r>
          </w:p>
          <w:p w:rsidR="00387FE3" w:rsidRPr="00387FE3" w:rsidRDefault="00387FE3" w:rsidP="00387FE3">
            <w:pPr>
              <w:spacing w:after="0"/>
              <w:rPr>
                <w:rFonts w:cs="Calibri"/>
                <w:sz w:val="20"/>
                <w:szCs w:val="18"/>
              </w:rPr>
            </w:pPr>
            <w:r w:rsidRPr="00387FE3">
              <w:rPr>
                <w:rFonts w:cs="Calibri"/>
                <w:sz w:val="20"/>
                <w:szCs w:val="18"/>
              </w:rPr>
              <w:t xml:space="preserve">- SCPIR=0,-4,-10 dB in case of VAMOS II or VAMOS III MS on the DL </w:t>
            </w:r>
          </w:p>
          <w:p w:rsidR="00387FE3" w:rsidRPr="00387FE3" w:rsidRDefault="00387FE3" w:rsidP="00387FE3">
            <w:pPr>
              <w:spacing w:after="0"/>
              <w:rPr>
                <w:rFonts w:cs="Calibri"/>
                <w:sz w:val="20"/>
                <w:szCs w:val="18"/>
              </w:rPr>
            </w:pPr>
          </w:p>
          <w:p w:rsidR="00387FE3" w:rsidRDefault="00387FE3" w:rsidP="00387FE3">
            <w:pPr>
              <w:spacing w:after="0"/>
              <w:rPr>
                <w:rFonts w:cs="Calibri"/>
                <w:sz w:val="20"/>
                <w:szCs w:val="18"/>
              </w:rPr>
            </w:pPr>
            <w:r w:rsidRPr="00387FE3">
              <w:rPr>
                <w:rFonts w:cs="Calibri"/>
                <w:sz w:val="20"/>
                <w:szCs w:val="18"/>
              </w:rPr>
              <w:t>The performance need only be evaluated for one of the VAMOS sub-channels in case of SCPIR=0 dB and the weak sub-channel in case of negative SCPIR.</w:t>
            </w:r>
          </w:p>
          <w:p w:rsidR="00D03D13" w:rsidRDefault="00D03D13" w:rsidP="00387FE3">
            <w:pPr>
              <w:spacing w:after="0"/>
              <w:rPr>
                <w:rFonts w:cs="Calibri"/>
                <w:sz w:val="20"/>
                <w:szCs w:val="18"/>
              </w:rPr>
            </w:pPr>
          </w:p>
          <w:p w:rsidR="00D03D13" w:rsidRDefault="00D03D13" w:rsidP="00D03D13">
            <w:pPr>
              <w:spacing w:after="0"/>
              <w:rPr>
                <w:rFonts w:cs="Calibri"/>
                <w:color w:val="C0504D" w:themeColor="accent2"/>
                <w:sz w:val="20"/>
                <w:szCs w:val="18"/>
              </w:rPr>
            </w:pPr>
            <w:r w:rsidRPr="00D03D13">
              <w:rPr>
                <w:rFonts w:cs="Calibri"/>
                <w:color w:val="C0504D" w:themeColor="accent2"/>
                <w:sz w:val="20"/>
                <w:szCs w:val="18"/>
              </w:rPr>
              <w:t>The performance shall only be evaluated for</w:t>
            </w:r>
            <w:r w:rsidR="006E65FA">
              <w:rPr>
                <w:rFonts w:cs="Calibri"/>
                <w:color w:val="C0504D" w:themeColor="accent2"/>
                <w:sz w:val="20"/>
                <w:szCs w:val="18"/>
              </w:rPr>
              <w:t xml:space="preserve"> the</w:t>
            </w:r>
            <w:r w:rsidRPr="00D03D13">
              <w:rPr>
                <w:rFonts w:cs="Calibri"/>
                <w:color w:val="C0504D" w:themeColor="accent2"/>
                <w:sz w:val="20"/>
                <w:szCs w:val="18"/>
              </w:rPr>
              <w:t xml:space="preserve"> TU </w:t>
            </w:r>
            <w:r w:rsidR="006E65FA">
              <w:rPr>
                <w:rFonts w:cs="Calibri"/>
                <w:color w:val="C0504D" w:themeColor="accent2"/>
                <w:sz w:val="20"/>
                <w:szCs w:val="18"/>
              </w:rPr>
              <w:t xml:space="preserve">channel </w:t>
            </w:r>
            <w:r w:rsidRPr="00D03D13">
              <w:rPr>
                <w:rFonts w:cs="Calibri"/>
                <w:color w:val="C0504D" w:themeColor="accent2"/>
                <w:sz w:val="20"/>
                <w:szCs w:val="18"/>
              </w:rPr>
              <w:t>propagation profile.</w:t>
            </w:r>
          </w:p>
          <w:p w:rsidR="00D03D13" w:rsidRDefault="00942001" w:rsidP="00D03D13">
            <w:pPr>
              <w:spacing w:after="0"/>
              <w:rPr>
                <w:rFonts w:cs="Calibri"/>
                <w:color w:val="C0504D" w:themeColor="accent2"/>
                <w:sz w:val="20"/>
                <w:szCs w:val="18"/>
              </w:rPr>
            </w:pPr>
            <w:r w:rsidRPr="00D03D13">
              <w:rPr>
                <w:rFonts w:cs="Calibri"/>
                <w:color w:val="C0504D" w:themeColor="accent2"/>
                <w:sz w:val="20"/>
                <w:szCs w:val="18"/>
                <w:highlight w:val="yellow"/>
              </w:rPr>
              <w:t>Only TU is specified for VAMOS in 3GPP TS 45.005</w:t>
            </w:r>
          </w:p>
          <w:p w:rsidR="00942001" w:rsidRDefault="00942001" w:rsidP="00D03D13">
            <w:pPr>
              <w:spacing w:after="0"/>
              <w:rPr>
                <w:rFonts w:cs="Calibri"/>
                <w:color w:val="C0504D" w:themeColor="accent2"/>
                <w:sz w:val="20"/>
                <w:szCs w:val="18"/>
              </w:rPr>
            </w:pPr>
          </w:p>
          <w:p w:rsidR="0093263B" w:rsidRDefault="00942001" w:rsidP="00D03D13">
            <w:pPr>
              <w:spacing w:after="0"/>
              <w:rPr>
                <w:rFonts w:cs="Calibri"/>
                <w:color w:val="C0504D" w:themeColor="accent2"/>
                <w:sz w:val="20"/>
                <w:szCs w:val="18"/>
              </w:rPr>
            </w:pPr>
            <w:r>
              <w:rPr>
                <w:rFonts w:cs="Calibri"/>
                <w:color w:val="C0504D" w:themeColor="accent2"/>
                <w:sz w:val="20"/>
                <w:szCs w:val="18"/>
              </w:rPr>
              <w:lastRenderedPageBreak/>
              <w:t>The performance at each SCPIR value shall be separately recorded and averaged according to WA17.</w:t>
            </w:r>
            <w:r w:rsidR="0093263B">
              <w:rPr>
                <w:rFonts w:cs="Calibri"/>
                <w:color w:val="C0504D" w:themeColor="accent2"/>
                <w:sz w:val="20"/>
                <w:szCs w:val="18"/>
              </w:rPr>
              <w:t xml:space="preserve"> The resulting 2 or 3 values (depending on the number of SCPIR) are then averaged </w:t>
            </w:r>
            <w:r w:rsidR="0093263B" w:rsidRPr="00D46B0F">
              <w:rPr>
                <w:rFonts w:cs="Calibri"/>
                <w:color w:val="C0504D" w:themeColor="accent2"/>
                <w:sz w:val="20"/>
                <w:szCs w:val="18"/>
              </w:rPr>
              <w:t xml:space="preserve">to arrive at a </w:t>
            </w:r>
            <w:r w:rsidR="0093263B">
              <w:rPr>
                <w:rFonts w:cs="Calibri"/>
                <w:color w:val="C0504D" w:themeColor="accent2"/>
                <w:sz w:val="20"/>
                <w:szCs w:val="18"/>
              </w:rPr>
              <w:t>single representative value for the different SCPIRs.</w:t>
            </w:r>
            <w:bookmarkStart w:id="0" w:name="_GoBack"/>
            <w:bookmarkEnd w:id="0"/>
          </w:p>
          <w:p w:rsidR="00942001" w:rsidRPr="00942001" w:rsidRDefault="00942001" w:rsidP="00824F9E">
            <w:pPr>
              <w:spacing w:after="0"/>
              <w:rPr>
                <w:rFonts w:cs="Calibri"/>
                <w:color w:val="C0504D" w:themeColor="accent2"/>
                <w:sz w:val="20"/>
                <w:szCs w:val="18"/>
              </w:rPr>
            </w:pPr>
            <w:r w:rsidRPr="00942001">
              <w:rPr>
                <w:rFonts w:cs="Calibri"/>
                <w:color w:val="C0504D" w:themeColor="accent2"/>
                <w:sz w:val="20"/>
                <w:szCs w:val="18"/>
                <w:highlight w:val="yellow"/>
              </w:rPr>
              <w:t>Since different SCPIRs will provide quite different operating points</w:t>
            </w:r>
            <w:r w:rsidR="00C623D3">
              <w:rPr>
                <w:rFonts w:cs="Calibri"/>
                <w:color w:val="C0504D" w:themeColor="accent2"/>
                <w:sz w:val="20"/>
                <w:szCs w:val="18"/>
                <w:highlight w:val="yellow"/>
              </w:rPr>
              <w:t>,</w:t>
            </w:r>
            <w:r w:rsidRPr="00942001">
              <w:rPr>
                <w:rFonts w:cs="Calibri"/>
                <w:color w:val="C0504D" w:themeColor="accent2"/>
                <w:sz w:val="20"/>
                <w:szCs w:val="18"/>
                <w:highlight w:val="yellow"/>
              </w:rPr>
              <w:t xml:space="preserve"> weighting all intersection points together will </w:t>
            </w:r>
            <w:r w:rsidRPr="00C623D3">
              <w:rPr>
                <w:rFonts w:cs="Calibri"/>
                <w:color w:val="C0504D" w:themeColor="accent2"/>
                <w:sz w:val="20"/>
                <w:szCs w:val="18"/>
                <w:highlight w:val="yellow"/>
              </w:rPr>
              <w:t xml:space="preserve">effectively result in </w:t>
            </w:r>
            <w:r w:rsidR="00C623D3" w:rsidRPr="00C623D3">
              <w:rPr>
                <w:rFonts w:cs="Calibri"/>
                <w:color w:val="C0504D" w:themeColor="accent2"/>
                <w:sz w:val="20"/>
                <w:szCs w:val="18"/>
                <w:highlight w:val="yellow"/>
              </w:rPr>
              <w:t xml:space="preserve">higher weighting factor </w:t>
            </w:r>
            <w:r w:rsidR="00824F9E">
              <w:rPr>
                <w:rFonts w:cs="Calibri"/>
                <w:color w:val="C0504D" w:themeColor="accent2"/>
                <w:sz w:val="20"/>
                <w:szCs w:val="18"/>
                <w:highlight w:val="yellow"/>
              </w:rPr>
              <w:t>for</w:t>
            </w:r>
            <w:r w:rsidR="00C623D3" w:rsidRPr="00C623D3">
              <w:rPr>
                <w:rFonts w:cs="Calibri"/>
                <w:color w:val="C0504D" w:themeColor="accent2"/>
                <w:sz w:val="20"/>
                <w:szCs w:val="18"/>
                <w:highlight w:val="yellow"/>
              </w:rPr>
              <w:t xml:space="preserve"> low SCPIR values (high operating points).</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lastRenderedPageBreak/>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28"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lastRenderedPageBreak/>
              <w:t>21</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For a given TSC proposal, for each company evaluation: AQPSK shall not be simulated as an interfering modulation.</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29"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22</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For all TSC proposals, across different company evaluations: The derived performance figure for each carrier and interfering modulation, interference scenario (see WA 17 and WA 19) and TSC proposal from each contributing company shall be averaged (dB).</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30"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23</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 xml:space="preserve">For all TSC proposals, across different company evaluations, interference simulations: The performance figures for all TSC proposals (see WA 22) shall be weighted depending on carrier modulation with: </w:t>
            </w:r>
          </w:p>
          <w:p w:rsidR="00387FE3" w:rsidRPr="00387FE3" w:rsidRDefault="00387FE3" w:rsidP="00387FE3">
            <w:pPr>
              <w:spacing w:after="0"/>
              <w:rPr>
                <w:rFonts w:cs="Calibri"/>
                <w:sz w:val="20"/>
                <w:szCs w:val="18"/>
              </w:rPr>
            </w:pPr>
            <w:r w:rsidRPr="00387FE3">
              <w:rPr>
                <w:rFonts w:cs="Calibri"/>
                <w:sz w:val="20"/>
                <w:szCs w:val="18"/>
              </w:rPr>
              <w:t>GMSK: 70%; 8PSK: 20%; 16QAM: 5%; 32QAM: 5%.</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31"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24</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 xml:space="preserve">For all TSC proposals, across different company evaluations, interference simulations: The performance figures for all TSC proposals (see WA 22) for each carrier modulation shall be weighted across interfering modulations according to: </w:t>
            </w:r>
          </w:p>
          <w:p w:rsidR="00387FE3" w:rsidRPr="00387FE3" w:rsidRDefault="00387FE3" w:rsidP="00387FE3">
            <w:pPr>
              <w:spacing w:after="0"/>
              <w:rPr>
                <w:rFonts w:cs="Calibri"/>
                <w:sz w:val="20"/>
                <w:szCs w:val="18"/>
              </w:rPr>
            </w:pPr>
            <w:r w:rsidRPr="00387FE3">
              <w:rPr>
                <w:rFonts w:cs="Calibri"/>
                <w:sz w:val="20"/>
                <w:szCs w:val="18"/>
              </w:rPr>
              <w:t>GMSK: 70%; 8PSK: 20%; 16QAM: 5%; 32QAM: 5%.</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32"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25</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 xml:space="preserve">For all TSC proposals, across different company evaluations, sensitivity simulations: The performance figures for all TSC proposals (see WA 22) shall be weighted depending on carrier modulation with: </w:t>
            </w:r>
          </w:p>
          <w:p w:rsidR="00387FE3" w:rsidRPr="00387FE3" w:rsidRDefault="00387FE3" w:rsidP="00387FE3">
            <w:pPr>
              <w:spacing w:after="0"/>
              <w:rPr>
                <w:rFonts w:cs="Calibri"/>
                <w:sz w:val="20"/>
                <w:szCs w:val="18"/>
              </w:rPr>
            </w:pPr>
            <w:r w:rsidRPr="00387FE3">
              <w:rPr>
                <w:rFonts w:cs="Calibri"/>
                <w:sz w:val="20"/>
                <w:szCs w:val="18"/>
              </w:rPr>
              <w:t>GMSK: 50%; VAMOS (DL: AQPSK, UL: paired GMSK): 20% 8PSK: 20%; 16QAM: 5%; 32QAM: 5%.</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33" w:history="1">
              <w:r w:rsidR="00CE4BAE">
                <w:rPr>
                  <w:rStyle w:val="Hyperlink"/>
                  <w:rFonts w:cs="Calibri"/>
                  <w:sz w:val="20"/>
                  <w:szCs w:val="18"/>
                </w:rPr>
                <w:t>GP-140192</w:t>
              </w:r>
            </w:hyperlink>
          </w:p>
        </w:tc>
      </w:tr>
      <w:tr w:rsidR="00387FE3" w:rsidRPr="00387FE3" w:rsidTr="00CE4BAE">
        <w:tc>
          <w:tcPr>
            <w:tcW w:w="425" w:type="dxa"/>
            <w:shd w:val="clear" w:color="auto" w:fill="auto"/>
          </w:tcPr>
          <w:p w:rsidR="00387FE3" w:rsidRPr="00387FE3" w:rsidRDefault="00387FE3" w:rsidP="00785F6E">
            <w:pPr>
              <w:spacing w:after="0"/>
              <w:rPr>
                <w:rFonts w:cs="Calibri"/>
                <w:sz w:val="20"/>
                <w:szCs w:val="18"/>
              </w:rPr>
            </w:pPr>
            <w:r>
              <w:rPr>
                <w:rFonts w:cs="Calibri"/>
                <w:sz w:val="20"/>
                <w:szCs w:val="18"/>
              </w:rPr>
              <w:t>26</w:t>
            </w:r>
          </w:p>
        </w:tc>
        <w:tc>
          <w:tcPr>
            <w:tcW w:w="9639" w:type="dxa"/>
            <w:shd w:val="clear" w:color="auto" w:fill="auto"/>
          </w:tcPr>
          <w:p w:rsidR="00387FE3" w:rsidRPr="00387FE3" w:rsidRDefault="00387FE3" w:rsidP="00387FE3">
            <w:pPr>
              <w:spacing w:after="0"/>
              <w:rPr>
                <w:rFonts w:cs="Calibri"/>
                <w:sz w:val="20"/>
                <w:szCs w:val="18"/>
              </w:rPr>
            </w:pPr>
            <w:r w:rsidRPr="00387FE3">
              <w:rPr>
                <w:rFonts w:cs="Calibri"/>
                <w:sz w:val="20"/>
                <w:szCs w:val="18"/>
              </w:rPr>
              <w:t>For all TSC proposals, across different company evaluations: The different propagation profiles and scenarios shall be weighted according to: Sensitivity: 25%; CCI: 60%; ACI-: 7.5%, ACI+: 7.5%.</w:t>
            </w:r>
          </w:p>
        </w:tc>
        <w:tc>
          <w:tcPr>
            <w:tcW w:w="993" w:type="dxa"/>
            <w:shd w:val="clear" w:color="auto" w:fill="auto"/>
          </w:tcPr>
          <w:p w:rsidR="00387FE3" w:rsidRPr="00387FE3" w:rsidRDefault="00387FE3" w:rsidP="00785F6E">
            <w:pPr>
              <w:spacing w:after="0"/>
              <w:jc w:val="center"/>
              <w:rPr>
                <w:rFonts w:cs="Calibri"/>
                <w:sz w:val="20"/>
                <w:szCs w:val="18"/>
              </w:rPr>
            </w:pPr>
            <w:r>
              <w:rPr>
                <w:rFonts w:cs="Calibri"/>
                <w:sz w:val="20"/>
                <w:szCs w:val="18"/>
              </w:rPr>
              <w:t>Agreed</w:t>
            </w:r>
          </w:p>
        </w:tc>
        <w:tc>
          <w:tcPr>
            <w:tcW w:w="992" w:type="dxa"/>
            <w:shd w:val="clear" w:color="auto" w:fill="auto"/>
          </w:tcPr>
          <w:p w:rsidR="00387FE3" w:rsidRPr="00387FE3" w:rsidRDefault="00387FE3" w:rsidP="00785F6E">
            <w:pPr>
              <w:spacing w:after="0"/>
              <w:jc w:val="center"/>
              <w:rPr>
                <w:rFonts w:cs="Calibri"/>
                <w:sz w:val="20"/>
                <w:szCs w:val="18"/>
              </w:rPr>
            </w:pPr>
            <w:r>
              <w:rPr>
                <w:rFonts w:cs="Calibri"/>
                <w:sz w:val="20"/>
                <w:szCs w:val="18"/>
              </w:rPr>
              <w:t>-</w:t>
            </w:r>
          </w:p>
        </w:tc>
        <w:tc>
          <w:tcPr>
            <w:tcW w:w="1701" w:type="dxa"/>
          </w:tcPr>
          <w:p w:rsidR="00387FE3" w:rsidRPr="00387FE3" w:rsidRDefault="00206933" w:rsidP="00550C61">
            <w:pPr>
              <w:spacing w:after="0"/>
              <w:jc w:val="center"/>
              <w:rPr>
                <w:rFonts w:cs="Calibri"/>
                <w:sz w:val="20"/>
                <w:szCs w:val="18"/>
              </w:rPr>
            </w:pPr>
            <w:hyperlink r:id="rId34" w:history="1">
              <w:r w:rsidR="00CE4BAE">
                <w:rPr>
                  <w:rStyle w:val="Hyperlink"/>
                  <w:rFonts w:cs="Calibri"/>
                  <w:sz w:val="20"/>
                  <w:szCs w:val="18"/>
                </w:rPr>
                <w:t>GP-140192</w:t>
              </w:r>
            </w:hyperlink>
          </w:p>
        </w:tc>
      </w:tr>
    </w:tbl>
    <w:p w:rsidR="00387FE3" w:rsidRPr="00A73BB2" w:rsidRDefault="00387FE3" w:rsidP="002D0C03">
      <w:pPr>
        <w:pStyle w:val="Heading2"/>
        <w:rPr>
          <w:rFonts w:asciiTheme="minorHAnsi" w:hAnsiTheme="minorHAnsi" w:cstheme="minorHAnsi"/>
        </w:rPr>
      </w:pPr>
      <w:r w:rsidRPr="00A73BB2">
        <w:rPr>
          <w:rFonts w:asciiTheme="minorHAnsi" w:hAnsiTheme="minorHAnsi" w:cstheme="minorHAnsi"/>
        </w:rPr>
        <w:t>Other</w:t>
      </w:r>
    </w:p>
    <w:tbl>
      <w:tblPr>
        <w:tblW w:w="137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8931"/>
        <w:gridCol w:w="992"/>
        <w:gridCol w:w="850"/>
        <w:gridCol w:w="1276"/>
        <w:gridCol w:w="1276"/>
      </w:tblGrid>
      <w:tr w:rsidR="006D3291" w:rsidRPr="00387FE3" w:rsidTr="00CE4BAE">
        <w:tc>
          <w:tcPr>
            <w:tcW w:w="425" w:type="dxa"/>
            <w:vMerge w:val="restart"/>
            <w:shd w:val="clear" w:color="auto" w:fill="DBE5F1"/>
          </w:tcPr>
          <w:p w:rsidR="006D3291" w:rsidRPr="00387FE3" w:rsidRDefault="006D3291" w:rsidP="00B45C27">
            <w:pPr>
              <w:spacing w:after="0"/>
              <w:rPr>
                <w:rFonts w:cs="Calibri"/>
                <w:b/>
                <w:sz w:val="20"/>
                <w:szCs w:val="18"/>
                <w:lang w:val="sv-SE"/>
              </w:rPr>
            </w:pPr>
            <w:r w:rsidRPr="00387FE3">
              <w:rPr>
                <w:rFonts w:cs="Calibri"/>
                <w:b/>
                <w:sz w:val="20"/>
                <w:szCs w:val="18"/>
                <w:lang w:val="sv-SE"/>
              </w:rPr>
              <w:t>#</w:t>
            </w:r>
          </w:p>
        </w:tc>
        <w:tc>
          <w:tcPr>
            <w:tcW w:w="8931" w:type="dxa"/>
            <w:vMerge w:val="restart"/>
            <w:shd w:val="clear" w:color="auto" w:fill="DBE5F1"/>
          </w:tcPr>
          <w:p w:rsidR="006D3291" w:rsidRPr="00387FE3" w:rsidRDefault="006D3291" w:rsidP="00B45C27">
            <w:pPr>
              <w:spacing w:after="0"/>
              <w:rPr>
                <w:rFonts w:cs="Calibri"/>
                <w:b/>
                <w:sz w:val="20"/>
                <w:szCs w:val="18"/>
                <w:lang w:val="sv-SE"/>
              </w:rPr>
            </w:pPr>
            <w:r w:rsidRPr="00387FE3">
              <w:rPr>
                <w:rFonts w:cs="Calibri"/>
                <w:b/>
                <w:sz w:val="20"/>
                <w:szCs w:val="18"/>
                <w:lang w:val="sv-SE"/>
              </w:rPr>
              <w:t>WA</w:t>
            </w:r>
          </w:p>
        </w:tc>
        <w:tc>
          <w:tcPr>
            <w:tcW w:w="1842" w:type="dxa"/>
            <w:gridSpan w:val="2"/>
            <w:shd w:val="clear" w:color="auto" w:fill="DBE5F1"/>
          </w:tcPr>
          <w:p w:rsidR="006D3291" w:rsidRPr="00387FE3" w:rsidRDefault="006D3291" w:rsidP="00B45C27">
            <w:pPr>
              <w:spacing w:after="0"/>
              <w:jc w:val="center"/>
              <w:rPr>
                <w:rFonts w:cs="Calibri"/>
                <w:b/>
                <w:sz w:val="20"/>
                <w:szCs w:val="18"/>
                <w:lang w:val="sv-SE"/>
              </w:rPr>
            </w:pPr>
            <w:r w:rsidRPr="00387FE3">
              <w:rPr>
                <w:rFonts w:cs="Calibri"/>
                <w:b/>
                <w:sz w:val="20"/>
                <w:szCs w:val="18"/>
                <w:lang w:val="sv-SE"/>
              </w:rPr>
              <w:t>Status</w:t>
            </w:r>
          </w:p>
        </w:tc>
        <w:tc>
          <w:tcPr>
            <w:tcW w:w="1276" w:type="dxa"/>
            <w:vMerge w:val="restart"/>
            <w:shd w:val="clear" w:color="auto" w:fill="DBE5F1"/>
          </w:tcPr>
          <w:p w:rsidR="006D3291" w:rsidRPr="00387FE3" w:rsidRDefault="006D3291" w:rsidP="00B45C27">
            <w:pPr>
              <w:spacing w:after="0"/>
              <w:jc w:val="center"/>
              <w:rPr>
                <w:rFonts w:cs="Calibri"/>
                <w:b/>
                <w:sz w:val="20"/>
                <w:szCs w:val="18"/>
              </w:rPr>
            </w:pPr>
            <w:r w:rsidRPr="00387FE3">
              <w:rPr>
                <w:rFonts w:cs="Calibri"/>
                <w:b/>
                <w:sz w:val="20"/>
                <w:szCs w:val="18"/>
              </w:rPr>
              <w:t xml:space="preserve">Related </w:t>
            </w:r>
            <w:r w:rsidRPr="00387FE3">
              <w:rPr>
                <w:rFonts w:cs="Calibri"/>
                <w:b/>
                <w:sz w:val="20"/>
                <w:szCs w:val="18"/>
              </w:rPr>
              <w:br/>
              <w:t xml:space="preserve">discussion </w:t>
            </w:r>
            <w:r w:rsidRPr="00387FE3">
              <w:rPr>
                <w:rFonts w:cs="Calibri"/>
                <w:b/>
                <w:sz w:val="20"/>
                <w:szCs w:val="18"/>
              </w:rPr>
              <w:br/>
              <w:t>paper(s)</w:t>
            </w:r>
          </w:p>
        </w:tc>
        <w:tc>
          <w:tcPr>
            <w:tcW w:w="1276" w:type="dxa"/>
            <w:vMerge w:val="restart"/>
            <w:shd w:val="clear" w:color="auto" w:fill="DBE5F1"/>
          </w:tcPr>
          <w:p w:rsidR="006D3291" w:rsidRPr="00387FE3" w:rsidRDefault="006D3291" w:rsidP="00B45C27">
            <w:pPr>
              <w:spacing w:after="0"/>
              <w:jc w:val="center"/>
              <w:rPr>
                <w:rFonts w:cs="Calibri"/>
                <w:b/>
                <w:sz w:val="20"/>
                <w:szCs w:val="18"/>
              </w:rPr>
            </w:pPr>
            <w:r>
              <w:rPr>
                <w:rFonts w:cs="Calibri"/>
                <w:b/>
                <w:sz w:val="20"/>
                <w:szCs w:val="18"/>
              </w:rPr>
              <w:t>Impacted specification</w:t>
            </w:r>
          </w:p>
        </w:tc>
      </w:tr>
      <w:tr w:rsidR="006D3291" w:rsidRPr="00387FE3" w:rsidTr="00CE4BAE">
        <w:tc>
          <w:tcPr>
            <w:tcW w:w="425" w:type="dxa"/>
            <w:vMerge/>
            <w:shd w:val="clear" w:color="auto" w:fill="DBE5F1"/>
          </w:tcPr>
          <w:p w:rsidR="006D3291" w:rsidRPr="00387FE3" w:rsidRDefault="006D3291" w:rsidP="00B45C27">
            <w:pPr>
              <w:spacing w:after="0"/>
              <w:rPr>
                <w:rFonts w:cs="Calibri"/>
                <w:sz w:val="20"/>
                <w:szCs w:val="18"/>
              </w:rPr>
            </w:pPr>
          </w:p>
        </w:tc>
        <w:tc>
          <w:tcPr>
            <w:tcW w:w="8931" w:type="dxa"/>
            <w:vMerge/>
            <w:shd w:val="clear" w:color="auto" w:fill="DBE5F1"/>
          </w:tcPr>
          <w:p w:rsidR="006D3291" w:rsidRPr="00387FE3" w:rsidRDefault="006D3291" w:rsidP="00B45C27">
            <w:pPr>
              <w:spacing w:after="0"/>
              <w:rPr>
                <w:rFonts w:cs="Calibri"/>
                <w:sz w:val="20"/>
                <w:szCs w:val="18"/>
              </w:rPr>
            </w:pPr>
          </w:p>
        </w:tc>
        <w:tc>
          <w:tcPr>
            <w:tcW w:w="992" w:type="dxa"/>
            <w:shd w:val="clear" w:color="auto" w:fill="DBE5F1"/>
          </w:tcPr>
          <w:p w:rsidR="006D3291" w:rsidRPr="00387FE3" w:rsidRDefault="006D3291" w:rsidP="00B45C27">
            <w:pPr>
              <w:spacing w:after="0"/>
              <w:jc w:val="center"/>
              <w:rPr>
                <w:rFonts w:cs="Calibri"/>
                <w:b/>
                <w:sz w:val="20"/>
                <w:szCs w:val="18"/>
              </w:rPr>
            </w:pPr>
            <w:r w:rsidRPr="00387FE3">
              <w:rPr>
                <w:rFonts w:cs="Calibri"/>
                <w:b/>
                <w:sz w:val="20"/>
                <w:szCs w:val="18"/>
              </w:rPr>
              <w:t>WG1</w:t>
            </w:r>
          </w:p>
        </w:tc>
        <w:tc>
          <w:tcPr>
            <w:tcW w:w="850" w:type="dxa"/>
            <w:shd w:val="clear" w:color="auto" w:fill="DBE5F1"/>
          </w:tcPr>
          <w:p w:rsidR="006D3291" w:rsidRPr="00387FE3" w:rsidRDefault="006D3291" w:rsidP="00B45C27">
            <w:pPr>
              <w:spacing w:after="0"/>
              <w:jc w:val="center"/>
              <w:rPr>
                <w:rFonts w:cs="Calibri"/>
                <w:b/>
                <w:sz w:val="20"/>
                <w:szCs w:val="18"/>
              </w:rPr>
            </w:pPr>
            <w:r w:rsidRPr="00387FE3">
              <w:rPr>
                <w:rFonts w:cs="Calibri"/>
                <w:b/>
                <w:sz w:val="20"/>
                <w:szCs w:val="18"/>
              </w:rPr>
              <w:t>WG2</w:t>
            </w:r>
          </w:p>
        </w:tc>
        <w:tc>
          <w:tcPr>
            <w:tcW w:w="1276" w:type="dxa"/>
            <w:vMerge/>
            <w:shd w:val="clear" w:color="auto" w:fill="DBE5F1"/>
          </w:tcPr>
          <w:p w:rsidR="006D3291" w:rsidRPr="00387FE3" w:rsidRDefault="006D3291" w:rsidP="00B45C27">
            <w:pPr>
              <w:spacing w:after="0"/>
              <w:jc w:val="center"/>
              <w:rPr>
                <w:rFonts w:cs="Calibri"/>
                <w:sz w:val="20"/>
                <w:szCs w:val="18"/>
              </w:rPr>
            </w:pPr>
          </w:p>
        </w:tc>
        <w:tc>
          <w:tcPr>
            <w:tcW w:w="1276" w:type="dxa"/>
            <w:vMerge/>
            <w:shd w:val="clear" w:color="auto" w:fill="DBE5F1"/>
          </w:tcPr>
          <w:p w:rsidR="006D3291" w:rsidRPr="00387FE3" w:rsidRDefault="006D3291" w:rsidP="00B45C27">
            <w:pPr>
              <w:spacing w:after="0"/>
              <w:jc w:val="center"/>
              <w:rPr>
                <w:rFonts w:cs="Calibri"/>
                <w:sz w:val="20"/>
                <w:szCs w:val="18"/>
              </w:rPr>
            </w:pPr>
          </w:p>
        </w:tc>
      </w:tr>
      <w:tr w:rsidR="006D3291" w:rsidRPr="00387FE3" w:rsidTr="00CE4BAE">
        <w:tc>
          <w:tcPr>
            <w:tcW w:w="425" w:type="dxa"/>
            <w:shd w:val="clear" w:color="auto" w:fill="auto"/>
          </w:tcPr>
          <w:p w:rsidR="006D3291" w:rsidRPr="00387FE3" w:rsidRDefault="00333F9F" w:rsidP="00B45C27">
            <w:pPr>
              <w:spacing w:after="0"/>
              <w:rPr>
                <w:rFonts w:cs="Calibri"/>
                <w:sz w:val="20"/>
                <w:szCs w:val="18"/>
              </w:rPr>
            </w:pPr>
            <w:r>
              <w:rPr>
                <w:rFonts w:cs="Calibri"/>
                <w:sz w:val="20"/>
                <w:szCs w:val="18"/>
              </w:rPr>
              <w:t>27</w:t>
            </w:r>
          </w:p>
        </w:tc>
        <w:tc>
          <w:tcPr>
            <w:tcW w:w="8931" w:type="dxa"/>
            <w:shd w:val="clear" w:color="auto" w:fill="auto"/>
          </w:tcPr>
          <w:p w:rsidR="006D3291" w:rsidRPr="00387FE3" w:rsidRDefault="00333F9F" w:rsidP="00B45C27">
            <w:pPr>
              <w:spacing w:after="0"/>
              <w:rPr>
                <w:rFonts w:cs="Calibri"/>
                <w:sz w:val="20"/>
                <w:szCs w:val="18"/>
              </w:rPr>
            </w:pPr>
            <w:r w:rsidRPr="00333F9F">
              <w:rPr>
                <w:rFonts w:cs="Calibri"/>
                <w:sz w:val="20"/>
                <w:szCs w:val="18"/>
              </w:rPr>
              <w:t>To avoid any resource segregation, NewToN shall allow for an optional assignment of a second TSC (DL TBF) to the MS.</w:t>
            </w:r>
          </w:p>
        </w:tc>
        <w:tc>
          <w:tcPr>
            <w:tcW w:w="992" w:type="dxa"/>
            <w:shd w:val="clear" w:color="auto" w:fill="auto"/>
          </w:tcPr>
          <w:p w:rsidR="006D3291" w:rsidRPr="00387FE3" w:rsidRDefault="006D3291" w:rsidP="00333F9F">
            <w:pPr>
              <w:spacing w:after="0"/>
              <w:rPr>
                <w:rFonts w:cs="Calibri"/>
                <w:sz w:val="20"/>
                <w:szCs w:val="18"/>
              </w:rPr>
            </w:pPr>
            <w:r>
              <w:rPr>
                <w:rFonts w:cs="Calibri"/>
                <w:sz w:val="20"/>
                <w:szCs w:val="18"/>
              </w:rPr>
              <w:t>Agreed</w:t>
            </w:r>
          </w:p>
        </w:tc>
        <w:tc>
          <w:tcPr>
            <w:tcW w:w="850" w:type="dxa"/>
            <w:shd w:val="clear" w:color="auto" w:fill="auto"/>
          </w:tcPr>
          <w:p w:rsidR="006D3291" w:rsidRPr="00387FE3" w:rsidRDefault="006D3291" w:rsidP="00B45C27">
            <w:pPr>
              <w:spacing w:after="0"/>
              <w:jc w:val="center"/>
              <w:rPr>
                <w:rFonts w:cs="Calibri"/>
                <w:sz w:val="20"/>
                <w:szCs w:val="18"/>
              </w:rPr>
            </w:pPr>
            <w:r>
              <w:rPr>
                <w:rFonts w:cs="Calibri"/>
                <w:sz w:val="20"/>
                <w:szCs w:val="18"/>
              </w:rPr>
              <w:t>Agreed</w:t>
            </w:r>
          </w:p>
        </w:tc>
        <w:tc>
          <w:tcPr>
            <w:tcW w:w="1276" w:type="dxa"/>
          </w:tcPr>
          <w:p w:rsidR="006D3291" w:rsidRPr="00387FE3" w:rsidRDefault="00206933" w:rsidP="00B45C27">
            <w:pPr>
              <w:spacing w:after="0"/>
              <w:jc w:val="center"/>
              <w:rPr>
                <w:rFonts w:cs="Calibri"/>
                <w:sz w:val="20"/>
                <w:szCs w:val="18"/>
              </w:rPr>
            </w:pPr>
            <w:hyperlink r:id="rId35" w:history="1">
              <w:r w:rsidR="00333F9F">
                <w:rPr>
                  <w:rStyle w:val="Hyperlink"/>
                  <w:rFonts w:cs="Calibri"/>
                  <w:sz w:val="20"/>
                  <w:szCs w:val="18"/>
                </w:rPr>
                <w:t>GP-140141</w:t>
              </w:r>
            </w:hyperlink>
          </w:p>
        </w:tc>
        <w:tc>
          <w:tcPr>
            <w:tcW w:w="1276" w:type="dxa"/>
          </w:tcPr>
          <w:p w:rsidR="006D3291" w:rsidRPr="00387FE3" w:rsidRDefault="00333F9F" w:rsidP="00B45C27">
            <w:pPr>
              <w:spacing w:after="0"/>
              <w:jc w:val="center"/>
              <w:rPr>
                <w:rFonts w:cs="Calibri"/>
                <w:sz w:val="20"/>
                <w:szCs w:val="18"/>
              </w:rPr>
            </w:pPr>
            <w:r>
              <w:rPr>
                <w:rFonts w:cs="Calibri"/>
                <w:sz w:val="20"/>
                <w:szCs w:val="18"/>
              </w:rPr>
              <w:t>44.060</w:t>
            </w:r>
            <w:r w:rsidR="006D3291">
              <w:rPr>
                <w:rFonts w:cs="Calibri"/>
                <w:sz w:val="20"/>
                <w:szCs w:val="18"/>
              </w:rPr>
              <w:t xml:space="preserve"> </w:t>
            </w:r>
            <w:r>
              <w:rPr>
                <w:rFonts w:cs="Calibri"/>
                <w:sz w:val="20"/>
                <w:szCs w:val="18"/>
              </w:rPr>
              <w:br/>
            </w:r>
            <w:r w:rsidR="006D3291">
              <w:rPr>
                <w:rFonts w:cs="Calibri"/>
                <w:sz w:val="20"/>
                <w:szCs w:val="18"/>
              </w:rPr>
              <w:t>44.018</w:t>
            </w:r>
          </w:p>
        </w:tc>
      </w:tr>
    </w:tbl>
    <w:p w:rsidR="00387FE3" w:rsidRPr="00387FE3" w:rsidRDefault="00387FE3" w:rsidP="00387FE3">
      <w:pPr>
        <w:pStyle w:val="BodyText"/>
      </w:pPr>
    </w:p>
    <w:p w:rsidR="006A413E" w:rsidRPr="002D0C03" w:rsidRDefault="00201CE3" w:rsidP="002D0C03">
      <w:pPr>
        <w:pStyle w:val="Heading1"/>
      </w:pPr>
      <w:r w:rsidRPr="002D0C03">
        <w:lastRenderedPageBreak/>
        <w:t>References</w:t>
      </w:r>
    </w:p>
    <w:p w:rsidR="00A56DAD" w:rsidRDefault="00206933" w:rsidP="00985D3A">
      <w:pPr>
        <w:pStyle w:val="Reference"/>
      </w:pPr>
      <w:hyperlink r:id="rId36" w:history="1">
        <w:r w:rsidR="00985D3A">
          <w:rPr>
            <w:rStyle w:val="Hyperlink"/>
          </w:rPr>
          <w:t>GP-131139</w:t>
        </w:r>
      </w:hyperlink>
      <w:r w:rsidR="00985D3A">
        <w:t xml:space="preserve">, “Work Item Description: New Training Sequence Codes for GERAN”, source </w:t>
      </w:r>
      <w:r w:rsidR="00985D3A" w:rsidRPr="00985D3A">
        <w:t>Telefon AB LM Ericsson, Telecom Italia S.p.A., China Mobile Com. Corporation, NOKIA Corporation, Alcatel-Lucent, Vodafone Group, Com-Research GmbH</w:t>
      </w:r>
      <w:r w:rsidR="00985D3A">
        <w:t>. GERAN#60.</w:t>
      </w:r>
    </w:p>
    <w:p w:rsidR="00601561" w:rsidRDefault="00A56DAD" w:rsidP="002D0C03">
      <w:pPr>
        <w:pStyle w:val="Heading1"/>
      </w:pPr>
      <w:r>
        <w:br w:type="page"/>
      </w:r>
      <w:r w:rsidR="00601561" w:rsidRPr="002D0C03">
        <w:rPr>
          <w:color w:val="C00000"/>
        </w:rPr>
        <w:lastRenderedPageBreak/>
        <w:t>Annex</w:t>
      </w:r>
    </w:p>
    <w:p w:rsidR="00F26B20" w:rsidRDefault="00601561" w:rsidP="00601561">
      <w:r>
        <w:t>This Annex contains an illustrative example on how three different companies contribute to the final performance evaluation of NewToN.</w:t>
      </w:r>
      <w:r w:rsidR="00F11BE1">
        <w:t xml:space="preserve"> Three companies contributing with TSC sets means that three sets shall be evaluated since each company can propose at most one TSC set (</w:t>
      </w:r>
      <w:r w:rsidR="00F11BE1" w:rsidRPr="00F11BE1">
        <w:rPr>
          <w:b/>
        </w:rPr>
        <w:t>WA3</w:t>
      </w:r>
      <w:r w:rsidR="00F11BE1">
        <w:t>).</w:t>
      </w:r>
      <w:r w:rsidR="00F26B20">
        <w:t xml:space="preserve"> </w:t>
      </w:r>
    </w:p>
    <w:p w:rsidR="00601561" w:rsidRDefault="00F26B20" w:rsidP="00601561">
      <w:r>
        <w:t>It should be noted that not only the companies proposing TSC sets need to be the ones contributing to the final evaluation. For example, company D need not have proposed a TSC set but still contributes to the evaluation. This scenario is however not covered in the example below, but would be a straightforward extension to cater for.</w:t>
      </w:r>
    </w:p>
    <w:p w:rsidR="00601561" w:rsidRDefault="00601561" w:rsidP="00601561">
      <w:r>
        <w:t>The three companies are: A, B and C.</w:t>
      </w:r>
    </w:p>
    <w:p w:rsidR="00601561" w:rsidRDefault="00601561" w:rsidP="00601561">
      <w:r>
        <w:t xml:space="preserve">Company A evaluates all modulations while company </w:t>
      </w:r>
      <w:r w:rsidR="00F204BE">
        <w:t>B</w:t>
      </w:r>
      <w:r>
        <w:t xml:space="preserve"> only evaluates GMSK and 8PSK carrier </w:t>
      </w:r>
      <w:r w:rsidR="00F204BE">
        <w:t>but all</w:t>
      </w:r>
      <w:r>
        <w:t xml:space="preserve"> inte</w:t>
      </w:r>
      <w:r w:rsidR="00F204BE">
        <w:t>rfering</w:t>
      </w:r>
      <w:r>
        <w:t xml:space="preserve"> modulation</w:t>
      </w:r>
      <w:r w:rsidR="00F204BE">
        <w:t>, and company C only GMSK and 8PSK as both carrier and interfering modulations</w:t>
      </w:r>
      <w:r>
        <w:t xml:space="preserve"> (</w:t>
      </w:r>
      <w:r w:rsidRPr="00601561">
        <w:rPr>
          <w:b/>
        </w:rPr>
        <w:t>WA5</w:t>
      </w:r>
      <w:r>
        <w:t>).</w:t>
      </w:r>
    </w:p>
    <w:p w:rsidR="00601561" w:rsidRDefault="00A56DAD" w:rsidP="00601561">
      <w:r>
        <w:t>Company B on the other evaluates two different r</w:t>
      </w:r>
      <w:r w:rsidR="00AD5E4E">
        <w:t xml:space="preserve">eceiver architectures, but will, according to </w:t>
      </w:r>
      <w:r w:rsidR="00AD5E4E" w:rsidRPr="00AD5E4E">
        <w:rPr>
          <w:b/>
        </w:rPr>
        <w:t>WA4</w:t>
      </w:r>
      <w:r w:rsidR="00AD5E4E">
        <w:t xml:space="preserve"> only contribute with one set of performance figures.</w:t>
      </w:r>
    </w:p>
    <w:p w:rsidR="00AD5E4E" w:rsidRPr="00511EAF" w:rsidRDefault="0078355B" w:rsidP="002D0C03">
      <w:pPr>
        <w:pStyle w:val="Heading2"/>
        <w:rPr>
          <w:rFonts w:asciiTheme="minorHAnsi" w:hAnsiTheme="minorHAnsi" w:cstheme="minorHAnsi"/>
        </w:rPr>
      </w:pPr>
      <w:bookmarkStart w:id="1" w:name="_Ref384730964"/>
      <w:r w:rsidRPr="00511EAF">
        <w:rPr>
          <w:rFonts w:asciiTheme="minorHAnsi" w:hAnsiTheme="minorHAnsi" w:cstheme="minorHAnsi"/>
        </w:rPr>
        <w:t>The evaluation for each company</w:t>
      </w:r>
      <w:bookmarkEnd w:id="1"/>
    </w:p>
    <w:p w:rsidR="00601561" w:rsidRDefault="00A53249" w:rsidP="00601561">
      <w:r>
        <w:t xml:space="preserve">The evaluation procedure for each company is illustrated by the co-channel </w:t>
      </w:r>
      <w:r w:rsidR="00215340">
        <w:t xml:space="preserve">interference (CCI) </w:t>
      </w:r>
      <w:r>
        <w:t>evaluation by company A.</w:t>
      </w:r>
    </w:p>
    <w:p w:rsidR="00215340" w:rsidRDefault="00215340" w:rsidP="00601561">
      <w:r>
        <w:t>First all modulation combinations (carrier and interferer) are simulated</w:t>
      </w:r>
      <w:r w:rsidR="00340979">
        <w:t xml:space="preserve"> to arrive at an average performance figure for the TSC set from company A for each combination (table below)</w:t>
      </w:r>
      <w:r>
        <w:t xml:space="preserve">. </w:t>
      </w:r>
    </w:p>
    <w:p w:rsidR="002972CE" w:rsidRDefault="009437B2" w:rsidP="006B2271">
      <w:pPr>
        <w:jc w:val="center"/>
      </w:pPr>
      <w:r>
        <w:rPr>
          <w:noProof/>
        </w:rPr>
        <w:lastRenderedPageBreak/>
        <w:drawing>
          <wp:inline distT="0" distB="0" distL="0" distR="0" wp14:anchorId="543FC9A0" wp14:editId="2E26E1F5">
            <wp:extent cx="8445260" cy="52012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443546" cy="5200183"/>
                    </a:xfrm>
                    <a:prstGeom prst="rect">
                      <a:avLst/>
                    </a:prstGeom>
                    <a:noFill/>
                  </pic:spPr>
                </pic:pic>
              </a:graphicData>
            </a:graphic>
          </wp:inline>
        </w:drawing>
      </w:r>
    </w:p>
    <w:p w:rsidR="00A53249" w:rsidRDefault="00340979" w:rsidP="00601561">
      <w:r>
        <w:lastRenderedPageBreak/>
        <w:t>The procedure is then repeated for all proposed TSC sets</w:t>
      </w:r>
      <w:r w:rsidR="007B155A">
        <w:t xml:space="preserve"> (</w:t>
      </w:r>
      <w:r w:rsidR="007B155A" w:rsidRPr="007B155A">
        <w:rPr>
          <w:b/>
        </w:rPr>
        <w:t>WA2</w:t>
      </w:r>
      <w:r w:rsidR="007B155A">
        <w:t>)</w:t>
      </w:r>
      <w:r>
        <w:t>. In this case it is assumed that there are three sets in total from company A, B and C.</w:t>
      </w:r>
    </w:p>
    <w:p w:rsidR="00340979" w:rsidRDefault="00D609C1" w:rsidP="00D609C1">
      <w:pPr>
        <w:jc w:val="center"/>
      </w:pPr>
      <w:r>
        <w:rPr>
          <w:noProof/>
        </w:rPr>
        <w:drawing>
          <wp:inline distT="0" distB="0" distL="0" distR="0" wp14:anchorId="7DF45780" wp14:editId="21CDC655">
            <wp:extent cx="6146358" cy="2534828"/>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53135" cy="2537623"/>
                    </a:xfrm>
                    <a:prstGeom prst="rect">
                      <a:avLst/>
                    </a:prstGeom>
                    <a:noFill/>
                  </pic:spPr>
                </pic:pic>
              </a:graphicData>
            </a:graphic>
          </wp:inline>
        </w:drawing>
      </w:r>
    </w:p>
    <w:p w:rsidR="00D609C1" w:rsidRDefault="00D609C1" w:rsidP="00D609C1">
      <w:r>
        <w:t xml:space="preserve">The table derived will contain </w:t>
      </w:r>
      <w:r w:rsidRPr="00D609C1">
        <w:rPr>
          <w:i/>
        </w:rPr>
        <w:t>relative</w:t>
      </w:r>
      <w:r>
        <w:t xml:space="preserve"> performance metrics for each proposed TSC set for each modulation combination (carrier and interferer)</w:t>
      </w:r>
      <w:r w:rsidR="007B155A">
        <w:t xml:space="preserve"> relative to the average performance of all sets (</w:t>
      </w:r>
      <w:r w:rsidR="007B155A" w:rsidRPr="007B155A">
        <w:rPr>
          <w:b/>
        </w:rPr>
        <w:t>WA18</w:t>
      </w:r>
      <w:r w:rsidR="007B155A">
        <w:t>)</w:t>
      </w:r>
      <w:r>
        <w:t xml:space="preserve">. </w:t>
      </w:r>
      <w:r w:rsidRPr="006B2271">
        <w:rPr>
          <w:b/>
        </w:rPr>
        <w:t>This is the table that is provided to GERAN for the final evaluation</w:t>
      </w:r>
      <w:r>
        <w:t>.</w:t>
      </w:r>
    </w:p>
    <w:p w:rsidR="00D609C1" w:rsidRDefault="006B2271" w:rsidP="00D609C1">
      <w:r>
        <w:t>The evaluation is performed also for ACI+ and ACI-, in addition to CCI (as described above</w:t>
      </w:r>
      <w:r w:rsidR="00B82338">
        <w:t xml:space="preserve">. </w:t>
      </w:r>
      <w:r w:rsidR="00B82338" w:rsidRPr="00B82338">
        <w:rPr>
          <w:b/>
        </w:rPr>
        <w:t>WA9</w:t>
      </w:r>
      <w:r>
        <w:t>).</w:t>
      </w:r>
    </w:p>
    <w:p w:rsidR="006B2271" w:rsidRDefault="006B2271" w:rsidP="00D609C1">
      <w:r>
        <w:t xml:space="preserve">Also sensitivity is evaluated, and in this case </w:t>
      </w:r>
      <w:r w:rsidR="00E833E6">
        <w:t xml:space="preserve">VAMOS is also included in the evaluation as carrier </w:t>
      </w:r>
      <w:r w:rsidR="00AB5B59">
        <w:t>(AQPSK on DL and 2 multiplexed GMSK channels on UL</w:t>
      </w:r>
      <w:r w:rsidR="00B82338">
        <w:t xml:space="preserve">, see </w:t>
      </w:r>
      <w:r w:rsidR="00B82338" w:rsidRPr="00B82338">
        <w:rPr>
          <w:b/>
        </w:rPr>
        <w:t>WA19</w:t>
      </w:r>
      <w:r w:rsidR="00AB5B59">
        <w:t>)</w:t>
      </w:r>
      <w:r w:rsidR="00E833E6">
        <w:t>.</w:t>
      </w:r>
      <w:r w:rsidR="00B82338">
        <w:t xml:space="preserve"> In this case different SCPIR values are also used to derive at the VAMOS performance figure (</w:t>
      </w:r>
      <w:r w:rsidR="00B82338" w:rsidRPr="00B82338">
        <w:rPr>
          <w:b/>
        </w:rPr>
        <w:t>WA20</w:t>
      </w:r>
      <w:r w:rsidR="00B82338">
        <w:t>).</w:t>
      </w:r>
    </w:p>
    <w:p w:rsidR="00AB5B59" w:rsidRDefault="0069298E" w:rsidP="0069298E">
      <w:pPr>
        <w:jc w:val="center"/>
      </w:pPr>
      <w:r>
        <w:rPr>
          <w:noProof/>
        </w:rPr>
        <w:lastRenderedPageBreak/>
        <w:drawing>
          <wp:inline distT="0" distB="0" distL="0" distR="0" wp14:anchorId="113A0486" wp14:editId="79CC55DA">
            <wp:extent cx="3551274" cy="1494384"/>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54074" cy="1495562"/>
                    </a:xfrm>
                    <a:prstGeom prst="rect">
                      <a:avLst/>
                    </a:prstGeom>
                    <a:noFill/>
                  </pic:spPr>
                </pic:pic>
              </a:graphicData>
            </a:graphic>
          </wp:inline>
        </w:drawing>
      </w:r>
    </w:p>
    <w:p w:rsidR="0069298E" w:rsidRDefault="00DB658A" w:rsidP="0069298E">
      <w:r>
        <w:t>For company B that evaluates two different receiver architectures, only one set of tables is provided to GERAN (average of the two receivers)</w:t>
      </w:r>
      <w:r w:rsidR="00993356">
        <w:t xml:space="preserve">, see </w:t>
      </w:r>
      <w:r w:rsidR="00993356" w:rsidRPr="00993356">
        <w:rPr>
          <w:b/>
        </w:rPr>
        <w:t>WA4</w:t>
      </w:r>
      <w:r>
        <w:t>.</w:t>
      </w:r>
    </w:p>
    <w:p w:rsidR="00DB658A" w:rsidRDefault="00DB658A" w:rsidP="0069298E">
      <w:r>
        <w:t>The set of tables provided to GERAN for the final performance evaluation will be as shown below.</w:t>
      </w:r>
    </w:p>
    <w:p w:rsidR="00DB658A" w:rsidRDefault="00F204BE" w:rsidP="00F204BE">
      <w:pPr>
        <w:jc w:val="center"/>
      </w:pPr>
      <w:r>
        <w:rPr>
          <w:noProof/>
        </w:rPr>
        <w:drawing>
          <wp:inline distT="0" distB="0" distL="0" distR="0" wp14:anchorId="5FEEE99E" wp14:editId="6B854ABB">
            <wp:extent cx="8079475" cy="2528943"/>
            <wp:effectExtent l="0" t="0" r="0" b="508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089884" cy="2532201"/>
                    </a:xfrm>
                    <a:prstGeom prst="rect">
                      <a:avLst/>
                    </a:prstGeom>
                    <a:noFill/>
                  </pic:spPr>
                </pic:pic>
              </a:graphicData>
            </a:graphic>
          </wp:inline>
        </w:drawing>
      </w:r>
    </w:p>
    <w:p w:rsidR="00F204BE" w:rsidRPr="00511EAF" w:rsidRDefault="00F204BE" w:rsidP="002D0C03">
      <w:pPr>
        <w:pStyle w:val="Heading2"/>
        <w:rPr>
          <w:rFonts w:asciiTheme="minorHAnsi" w:hAnsiTheme="minorHAnsi" w:cstheme="minorHAnsi"/>
        </w:rPr>
      </w:pPr>
      <w:r w:rsidRPr="00511EAF">
        <w:rPr>
          <w:rFonts w:asciiTheme="minorHAnsi" w:hAnsiTheme="minorHAnsi" w:cstheme="minorHAnsi"/>
        </w:rPr>
        <w:lastRenderedPageBreak/>
        <w:t>The evaluation of all companies</w:t>
      </w:r>
    </w:p>
    <w:p w:rsidR="00F204BE" w:rsidRDefault="00CA6BDC" w:rsidP="00F204BE">
      <w:pPr>
        <w:pStyle w:val="BodyText"/>
      </w:pPr>
      <w:r>
        <w:t xml:space="preserve">The final tables in Section </w:t>
      </w:r>
      <w:r>
        <w:fldChar w:fldCharType="begin"/>
      </w:r>
      <w:r>
        <w:instrText xml:space="preserve"> REF _Ref384730964 \r \h </w:instrText>
      </w:r>
      <w:r>
        <w:fldChar w:fldCharType="separate"/>
      </w:r>
      <w:r>
        <w:t>4.1</w:t>
      </w:r>
      <w:r>
        <w:fldChar w:fldCharType="end"/>
      </w:r>
      <w:r>
        <w:t xml:space="preserve"> are averaged to arrive at a common performance table (</w:t>
      </w:r>
      <w:r w:rsidRPr="00CA6BDC">
        <w:rPr>
          <w:b/>
        </w:rPr>
        <w:t>WA22</w:t>
      </w:r>
      <w:r>
        <w:t>) for the evaluation by all companies. Since not all companies have evaluated all modulation combinations, there will be different number of samples constituting the value in each cell.</w:t>
      </w:r>
    </w:p>
    <w:p w:rsidR="00785790" w:rsidRDefault="00785790" w:rsidP="00F204BE">
      <w:pPr>
        <w:pStyle w:val="BodyText"/>
      </w:pPr>
    </w:p>
    <w:p w:rsidR="00CA6BDC" w:rsidRDefault="00785790" w:rsidP="00785790">
      <w:pPr>
        <w:pStyle w:val="BodyText"/>
        <w:jc w:val="center"/>
      </w:pPr>
      <w:r>
        <w:rPr>
          <w:noProof/>
        </w:rPr>
        <w:drawing>
          <wp:inline distT="0" distB="0" distL="0" distR="0" wp14:anchorId="419EB0FD">
            <wp:extent cx="3657600" cy="363982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57600" cy="3639820"/>
                    </a:xfrm>
                    <a:prstGeom prst="rect">
                      <a:avLst/>
                    </a:prstGeom>
                    <a:noFill/>
                  </pic:spPr>
                </pic:pic>
              </a:graphicData>
            </a:graphic>
          </wp:inline>
        </w:drawing>
      </w:r>
    </w:p>
    <w:p w:rsidR="00785790" w:rsidRDefault="00785790" w:rsidP="00785790">
      <w:pPr>
        <w:pStyle w:val="BodyText"/>
      </w:pPr>
      <w:r>
        <w:t xml:space="preserve">All performance figures are then weighted according to </w:t>
      </w:r>
      <w:r w:rsidRPr="00785790">
        <w:rPr>
          <w:b/>
        </w:rPr>
        <w:t>WA23</w:t>
      </w:r>
      <w:r>
        <w:t xml:space="preserve">, </w:t>
      </w:r>
      <w:r w:rsidRPr="00785790">
        <w:rPr>
          <w:b/>
        </w:rPr>
        <w:t>WA24</w:t>
      </w:r>
      <w:r>
        <w:t xml:space="preserve">, </w:t>
      </w:r>
      <w:r w:rsidRPr="00785790">
        <w:rPr>
          <w:b/>
        </w:rPr>
        <w:t>WA25</w:t>
      </w:r>
      <w:r>
        <w:t xml:space="preserve"> and </w:t>
      </w:r>
      <w:r w:rsidRPr="00785790">
        <w:rPr>
          <w:b/>
        </w:rPr>
        <w:t>WA26</w:t>
      </w:r>
      <w:r>
        <w:t xml:space="preserve"> to arrive at the final performance.</w:t>
      </w:r>
    </w:p>
    <w:p w:rsidR="00785790" w:rsidRDefault="0061499B" w:rsidP="0061499B">
      <w:pPr>
        <w:pStyle w:val="BodyText"/>
        <w:jc w:val="center"/>
      </w:pPr>
      <w:r>
        <w:rPr>
          <w:noProof/>
        </w:rPr>
        <w:lastRenderedPageBreak/>
        <w:drawing>
          <wp:inline distT="0" distB="0" distL="0" distR="0" wp14:anchorId="15E4B83F">
            <wp:extent cx="963295" cy="372110"/>
            <wp:effectExtent l="0" t="0" r="8255" b="889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63295" cy="372110"/>
                    </a:xfrm>
                    <a:prstGeom prst="rect">
                      <a:avLst/>
                    </a:prstGeom>
                    <a:noFill/>
                  </pic:spPr>
                </pic:pic>
              </a:graphicData>
            </a:graphic>
          </wp:inline>
        </w:drawing>
      </w:r>
    </w:p>
    <w:p w:rsidR="00CA6BDC" w:rsidRPr="00F204BE" w:rsidRDefault="0061499B" w:rsidP="00CA6BDC">
      <w:pPr>
        <w:pStyle w:val="BodyText"/>
      </w:pPr>
      <w:r w:rsidRPr="00387FE3">
        <w:rPr>
          <w:rFonts w:cs="Calibri"/>
          <w:sz w:val="20"/>
          <w:szCs w:val="18"/>
        </w:rPr>
        <w:t>If the final performance figure of the best TSC set is less than (&lt;) 0.1 dB better than the second best TSC set, a TSC set is randomly chosen (by blind draw by the GERAN WG1 secretary) from all TSC sets whose final performance figure is less than 0.1 dB worse than the best TSC set</w:t>
      </w:r>
      <w:r>
        <w:rPr>
          <w:rFonts w:cs="Calibri"/>
          <w:sz w:val="20"/>
          <w:szCs w:val="18"/>
        </w:rPr>
        <w:t xml:space="preserve"> (</w:t>
      </w:r>
      <w:r w:rsidRPr="0061499B">
        <w:rPr>
          <w:rFonts w:cs="Calibri"/>
          <w:b/>
          <w:sz w:val="20"/>
          <w:szCs w:val="18"/>
        </w:rPr>
        <w:t>WA6</w:t>
      </w:r>
      <w:r>
        <w:rPr>
          <w:rFonts w:cs="Calibri"/>
          <w:sz w:val="20"/>
          <w:szCs w:val="18"/>
        </w:rPr>
        <w:t>)</w:t>
      </w:r>
      <w:r w:rsidRPr="00387FE3">
        <w:rPr>
          <w:rFonts w:cs="Calibri"/>
          <w:sz w:val="20"/>
          <w:szCs w:val="18"/>
        </w:rPr>
        <w:t>.</w:t>
      </w:r>
    </w:p>
    <w:sectPr w:rsidR="00CA6BDC" w:rsidRPr="00F204BE" w:rsidSect="0043199C">
      <w:headerReference w:type="default" r:id="rId43"/>
      <w:footerReference w:type="default" r:id="rId44"/>
      <w:headerReference w:type="first" r:id="rId45"/>
      <w:footerReference w:type="first" r:id="rId46"/>
      <w:pgSz w:w="16838" w:h="11906" w:orient="landscape"/>
      <w:pgMar w:top="1841" w:right="1440" w:bottom="1797"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933" w:rsidRDefault="00206933">
      <w:r>
        <w:separator/>
      </w:r>
    </w:p>
  </w:endnote>
  <w:endnote w:type="continuationSeparator" w:id="0">
    <w:p w:rsidR="00206933" w:rsidRDefault="0020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altName w:val="Times"/>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EA0" w:rsidRDefault="00C47EA0">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3263B">
      <w:rPr>
        <w:rStyle w:val="PageNumber"/>
        <w:noProof/>
      </w:rPr>
      <w:t>5</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263B">
      <w:rPr>
        <w:rStyle w:val="PageNumber"/>
        <w:noProof/>
      </w:rPr>
      <w:t>11</w:t>
    </w:r>
    <w:r>
      <w:rPr>
        <w:rStyle w:val="PageNumber"/>
      </w:rPr>
      <w:fldChar w:fldCharType="end"/>
    </w:r>
    <w:r>
      <w:rPr>
        <w:rStyle w:val="PageNumber"/>
      </w:rPr>
      <w:t>)</w:t>
    </w:r>
    <w:bookmarkEnd w:id="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EA0" w:rsidRDefault="00C47EA0">
    <w:pPr>
      <w:pStyle w:val="Footer"/>
      <w:jc w:val="center"/>
    </w:pPr>
    <w:r>
      <w:rPr>
        <w:rStyle w:val="PageNumber"/>
      </w:rPr>
      <w:fldChar w:fldCharType="begin"/>
    </w:r>
    <w:r>
      <w:rPr>
        <w:rStyle w:val="PageNumber"/>
      </w:rPr>
      <w:instrText xml:space="preserve"> PAGE </w:instrText>
    </w:r>
    <w:r>
      <w:rPr>
        <w:rStyle w:val="PageNumber"/>
      </w:rPr>
      <w:fldChar w:fldCharType="separate"/>
    </w:r>
    <w:r w:rsidR="00E2120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1200">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933" w:rsidRDefault="00206933">
      <w:r>
        <w:separator/>
      </w:r>
    </w:p>
  </w:footnote>
  <w:footnote w:type="continuationSeparator" w:id="0">
    <w:p w:rsidR="00206933" w:rsidRDefault="00206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369" w:rsidRPr="00DC4369" w:rsidRDefault="00DC4369" w:rsidP="00DC4369">
    <w:pPr>
      <w:pStyle w:val="CRCoverPage"/>
      <w:tabs>
        <w:tab w:val="right" w:pos="9639"/>
      </w:tabs>
      <w:spacing w:after="0"/>
      <w:ind w:right="-666"/>
      <w:rPr>
        <w:b/>
        <w:noProof/>
        <w:lang w:val="sv-SE"/>
      </w:rPr>
    </w:pPr>
    <w:r w:rsidRPr="00DC4369">
      <w:rPr>
        <w:b/>
        <w:noProof/>
        <w:lang w:val="sv-SE"/>
      </w:rPr>
      <w:tab/>
    </w:r>
    <w:r w:rsidRPr="00DC4369">
      <w:rPr>
        <w:b/>
        <w:noProof/>
        <w:lang w:val="sv-SE"/>
      </w:rPr>
      <w:tab/>
    </w:r>
    <w:r w:rsidRPr="00DC4369">
      <w:rPr>
        <w:b/>
        <w:noProof/>
        <w:lang w:val="sv-SE"/>
      </w:rPr>
      <w:tab/>
    </w:r>
    <w:r w:rsidRPr="00DC4369">
      <w:rPr>
        <w:b/>
        <w:noProof/>
        <w:lang w:val="sv-SE"/>
      </w:rPr>
      <w:tab/>
    </w:r>
    <w:r w:rsidRPr="00DC4369">
      <w:rPr>
        <w:b/>
        <w:noProof/>
        <w:lang w:val="sv-SE"/>
      </w:rPr>
      <w:tab/>
    </w:r>
    <w:r w:rsidRPr="00DC4369">
      <w:rPr>
        <w:b/>
        <w:noProof/>
        <w:lang w:val="sv-SE"/>
      </w:rPr>
      <w:tab/>
    </w:r>
    <w:r w:rsidRPr="00DC4369">
      <w:rPr>
        <w:b/>
        <w:noProof/>
        <w:lang w:val="sv-SE"/>
      </w:rPr>
      <w:tab/>
    </w:r>
    <w:r w:rsidRPr="00DC4369">
      <w:rPr>
        <w:b/>
        <w:noProof/>
        <w:lang w:val="sv-SE"/>
      </w:rPr>
      <w:tab/>
    </w:r>
    <w:r w:rsidRPr="00DC4369">
      <w:rPr>
        <w:b/>
        <w:noProof/>
        <w:lang w:val="sv-SE"/>
      </w:rPr>
      <w:tab/>
    </w:r>
    <w:r w:rsidRPr="00DC4369">
      <w:rPr>
        <w:b/>
        <w:noProof/>
        <w:lang w:val="sv-SE"/>
      </w:rPr>
      <w:tab/>
    </w:r>
    <w:r w:rsidRPr="00DC4369">
      <w:rPr>
        <w:b/>
        <w:noProof/>
        <w:lang w:val="sv-SE"/>
      </w:rPr>
      <w:tab/>
    </w:r>
    <w:r w:rsidRPr="00DC4369">
      <w:rPr>
        <w:b/>
        <w:noProof/>
        <w:lang w:val="sv-SE"/>
      </w:rPr>
      <w:tab/>
    </w:r>
    <w:r w:rsidRPr="00DC4369">
      <w:rPr>
        <w:b/>
        <w:noProof/>
        <w:lang w:val="sv-SE"/>
      </w:rPr>
      <w:tab/>
    </w:r>
    <w:r w:rsidRPr="00DC4369">
      <w:rPr>
        <w:b/>
        <w:noProof/>
        <w:lang w:val="sv-SE"/>
      </w:rPr>
      <w:tab/>
      <w:t xml:space="preserve"> GP-140352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369" w:rsidRPr="00D03967" w:rsidRDefault="00C47EA0" w:rsidP="00460068">
    <w:pPr>
      <w:pStyle w:val="CRCoverPage"/>
      <w:tabs>
        <w:tab w:val="right" w:pos="9639"/>
      </w:tabs>
      <w:spacing w:after="0"/>
      <w:ind w:right="-666"/>
      <w:rPr>
        <w:b/>
        <w:noProof/>
        <w:lang w:val="sv-SE"/>
      </w:rPr>
    </w:pPr>
    <w:r w:rsidRPr="00D03967">
      <w:rPr>
        <w:b/>
        <w:noProof/>
        <w:lang w:val="sv-SE"/>
      </w:rPr>
      <w:t>3</w:t>
    </w:r>
    <w:r w:rsidR="0043757D" w:rsidRPr="00D03967">
      <w:rPr>
        <w:b/>
        <w:noProof/>
        <w:lang w:val="sv-SE"/>
      </w:rPr>
      <w:t xml:space="preserve">GPP TSG </w:t>
    </w:r>
    <w:r w:rsidR="00DF5FEE" w:rsidRPr="00D03967">
      <w:rPr>
        <w:b/>
        <w:noProof/>
        <w:lang w:val="sv-SE"/>
      </w:rPr>
      <w:t>GERAN</w:t>
    </w:r>
    <w:r w:rsidR="00DC4369" w:rsidRPr="00D03967">
      <w:rPr>
        <w:b/>
        <w:noProof/>
        <w:lang w:val="sv-SE"/>
      </w:rPr>
      <w:t>#62</w:t>
    </w:r>
    <w:r w:rsidR="00DF5FEE" w:rsidRPr="00D03967">
      <w:rPr>
        <w:b/>
        <w:noProof/>
        <w:lang w:val="sv-SE"/>
      </w:rPr>
      <w:tab/>
    </w:r>
    <w:r w:rsidR="00387FE3" w:rsidRPr="00D03967">
      <w:rPr>
        <w:b/>
        <w:noProof/>
        <w:lang w:val="sv-SE"/>
      </w:rPr>
      <w:tab/>
    </w:r>
    <w:r w:rsidR="00387FE3" w:rsidRPr="00D03967">
      <w:rPr>
        <w:b/>
        <w:noProof/>
        <w:lang w:val="sv-SE"/>
      </w:rPr>
      <w:tab/>
    </w:r>
    <w:r w:rsidR="00387FE3" w:rsidRPr="00D03967">
      <w:rPr>
        <w:b/>
        <w:noProof/>
        <w:lang w:val="sv-SE"/>
      </w:rPr>
      <w:tab/>
    </w:r>
    <w:r w:rsidR="00387FE3" w:rsidRPr="00D03967">
      <w:rPr>
        <w:b/>
        <w:noProof/>
        <w:lang w:val="sv-SE"/>
      </w:rPr>
      <w:tab/>
    </w:r>
    <w:r w:rsidR="00387FE3" w:rsidRPr="00D03967">
      <w:rPr>
        <w:b/>
        <w:noProof/>
        <w:lang w:val="sv-SE"/>
      </w:rPr>
      <w:tab/>
    </w:r>
    <w:r w:rsidR="00387FE3" w:rsidRPr="00D03967">
      <w:rPr>
        <w:b/>
        <w:noProof/>
        <w:lang w:val="sv-SE"/>
      </w:rPr>
      <w:tab/>
    </w:r>
    <w:r w:rsidR="00387FE3" w:rsidRPr="00D03967">
      <w:rPr>
        <w:b/>
        <w:noProof/>
        <w:lang w:val="sv-SE"/>
      </w:rPr>
      <w:tab/>
    </w:r>
    <w:r w:rsidR="00387FE3" w:rsidRPr="00D03967">
      <w:rPr>
        <w:b/>
        <w:noProof/>
        <w:lang w:val="sv-SE"/>
      </w:rPr>
      <w:tab/>
    </w:r>
    <w:r w:rsidR="00387FE3" w:rsidRPr="00D03967">
      <w:rPr>
        <w:b/>
        <w:noProof/>
        <w:lang w:val="sv-SE"/>
      </w:rPr>
      <w:tab/>
    </w:r>
    <w:r w:rsidR="00387FE3" w:rsidRPr="00D03967">
      <w:rPr>
        <w:b/>
        <w:noProof/>
        <w:lang w:val="sv-SE"/>
      </w:rPr>
      <w:tab/>
    </w:r>
    <w:r w:rsidR="00387FE3" w:rsidRPr="00D03967">
      <w:rPr>
        <w:b/>
        <w:noProof/>
        <w:lang w:val="sv-SE"/>
      </w:rPr>
      <w:tab/>
    </w:r>
    <w:r w:rsidR="00387FE3" w:rsidRPr="00D03967">
      <w:rPr>
        <w:b/>
        <w:noProof/>
        <w:lang w:val="sv-SE"/>
      </w:rPr>
      <w:tab/>
    </w:r>
    <w:r w:rsidR="00460068" w:rsidRPr="00D03967">
      <w:rPr>
        <w:b/>
        <w:noProof/>
        <w:lang w:val="sv-SE"/>
      </w:rPr>
      <w:tab/>
    </w:r>
    <w:r w:rsidR="00DC4369" w:rsidRPr="00D03967">
      <w:rPr>
        <w:b/>
        <w:noProof/>
        <w:lang w:val="sv-SE"/>
      </w:rPr>
      <w:t xml:space="preserve"> GP-140352</w:t>
    </w:r>
  </w:p>
  <w:p w:rsidR="00DC4369" w:rsidRPr="00D03967" w:rsidRDefault="00DC4369" w:rsidP="00DC4369">
    <w:pPr>
      <w:pStyle w:val="CRCoverPage"/>
      <w:tabs>
        <w:tab w:val="right" w:pos="9639"/>
      </w:tabs>
      <w:spacing w:after="0"/>
      <w:ind w:right="-666"/>
      <w:rPr>
        <w:b/>
        <w:noProof/>
        <w:lang w:val="sv-SE"/>
      </w:rPr>
    </w:pPr>
    <w:r w:rsidRPr="00D03967">
      <w:rPr>
        <w:b/>
        <w:noProof/>
        <w:lang w:val="sv-SE"/>
      </w:rPr>
      <w:t>Valencia, Spain</w:t>
    </w:r>
    <w:r w:rsidRPr="00D03967">
      <w:rPr>
        <w:b/>
        <w:noProof/>
        <w:lang w:val="sv-SE"/>
      </w:rPr>
      <w:tab/>
    </w:r>
    <w:r w:rsidRPr="00D03967">
      <w:rPr>
        <w:b/>
        <w:noProof/>
        <w:lang w:val="sv-SE"/>
      </w:rPr>
      <w:tab/>
    </w:r>
    <w:r w:rsidRPr="00D03967">
      <w:rPr>
        <w:b/>
        <w:noProof/>
        <w:lang w:val="sv-SE"/>
      </w:rPr>
      <w:tab/>
    </w:r>
    <w:r w:rsidRPr="00D03967">
      <w:rPr>
        <w:b/>
        <w:noProof/>
        <w:lang w:val="sv-SE"/>
      </w:rPr>
      <w:tab/>
    </w:r>
    <w:r w:rsidRPr="00D03967">
      <w:rPr>
        <w:b/>
        <w:noProof/>
        <w:lang w:val="sv-SE"/>
      </w:rPr>
      <w:tab/>
    </w:r>
    <w:r w:rsidRPr="00D03967">
      <w:rPr>
        <w:b/>
        <w:noProof/>
        <w:lang w:val="sv-SE"/>
      </w:rPr>
      <w:tab/>
    </w:r>
    <w:r w:rsidRPr="00D03967">
      <w:rPr>
        <w:b/>
        <w:noProof/>
        <w:lang w:val="sv-SE"/>
      </w:rPr>
      <w:tab/>
    </w:r>
    <w:r w:rsidRPr="00D03967">
      <w:rPr>
        <w:b/>
        <w:noProof/>
        <w:lang w:val="sv-SE"/>
      </w:rPr>
      <w:tab/>
    </w:r>
    <w:r w:rsidRPr="00D03967">
      <w:rPr>
        <w:b/>
        <w:noProof/>
        <w:lang w:val="sv-SE"/>
      </w:rPr>
      <w:tab/>
    </w:r>
    <w:r w:rsidRPr="00D03967">
      <w:rPr>
        <w:b/>
        <w:noProof/>
        <w:lang w:val="sv-SE"/>
      </w:rPr>
      <w:tab/>
      <w:t>Agenda item 7.1.5.2.4</w:t>
    </w:r>
  </w:p>
  <w:p w:rsidR="00DC4369" w:rsidRPr="00DC4369" w:rsidRDefault="00DC4369" w:rsidP="00DC4369">
    <w:pPr>
      <w:pStyle w:val="CRCoverPage"/>
      <w:tabs>
        <w:tab w:val="right" w:pos="9639"/>
      </w:tabs>
      <w:spacing w:after="0"/>
      <w:ind w:right="-666"/>
      <w:rPr>
        <w:b/>
        <w:noProof/>
        <w:lang w:val="en-US"/>
      </w:rPr>
    </w:pPr>
    <w:r>
      <w:rPr>
        <w:b/>
        <w:noProof/>
        <w:lang w:val="en-US"/>
      </w:rPr>
      <w:t>26</w:t>
    </w:r>
    <w:r w:rsidRPr="000C0513">
      <w:rPr>
        <w:b/>
        <w:noProof/>
        <w:vertAlign w:val="superscript"/>
        <w:lang w:val="en-US"/>
      </w:rPr>
      <w:t>th</w:t>
    </w:r>
    <w:r>
      <w:rPr>
        <w:b/>
        <w:noProof/>
        <w:lang w:val="en-US"/>
      </w:rPr>
      <w:t xml:space="preserve"> – 30</w:t>
    </w:r>
    <w:r w:rsidRPr="00DC4369">
      <w:rPr>
        <w:b/>
        <w:noProof/>
        <w:vertAlign w:val="superscript"/>
        <w:lang w:val="en-US"/>
      </w:rPr>
      <w:t>th</w:t>
    </w:r>
    <w:r>
      <w:rPr>
        <w:b/>
        <w:noProof/>
        <w:lang w:val="en-US"/>
      </w:rPr>
      <w:t xml:space="preserve"> May</w:t>
    </w:r>
    <w:r w:rsidRPr="0043757D">
      <w:rPr>
        <w:b/>
        <w:noProof/>
        <w:lang w:val="en-US"/>
      </w:rPr>
      <w:t>, 2014</w:t>
    </w:r>
  </w:p>
  <w:p w:rsidR="00460068" w:rsidRDefault="00460068" w:rsidP="00520AD5">
    <w:pPr>
      <w:pStyle w:val="CRCoverPage"/>
      <w:tabs>
        <w:tab w:val="right" w:pos="9639"/>
      </w:tabs>
      <w:spacing w:after="0"/>
      <w:ind w:right="-666"/>
      <w:rPr>
        <w:b/>
        <w:noProof/>
        <w:lang w:val="en-US"/>
      </w:rPr>
    </w:pPr>
    <w:r w:rsidRPr="00331B9B">
      <w:rPr>
        <w:b/>
        <w:noProof/>
        <w:lang w:val="en-US"/>
      </w:rPr>
      <w:t>Source: Ericsson</w:t>
    </w:r>
    <w:r w:rsidR="00387FE3">
      <w:rPr>
        <w:b/>
        <w:noProof/>
        <w:lang w:val="en-US"/>
      </w:rPr>
      <w:tab/>
    </w:r>
    <w:r w:rsidR="00387FE3">
      <w:rPr>
        <w:b/>
        <w:noProof/>
        <w:lang w:val="en-US"/>
      </w:rPr>
      <w:tab/>
    </w:r>
    <w:r w:rsidR="00387FE3">
      <w:rPr>
        <w:b/>
        <w:noProof/>
        <w:lang w:val="en-US"/>
      </w:rPr>
      <w:tab/>
    </w:r>
    <w:r w:rsidR="00387FE3">
      <w:rPr>
        <w:b/>
        <w:noProof/>
        <w:lang w:val="en-US"/>
      </w:rPr>
      <w:tab/>
    </w:r>
    <w:r w:rsidR="00387FE3">
      <w:rPr>
        <w:b/>
        <w:noProof/>
        <w:lang w:val="en-US"/>
      </w:rPr>
      <w:tab/>
    </w:r>
    <w:r w:rsidR="00387FE3">
      <w:rPr>
        <w:b/>
        <w:noProof/>
        <w:lang w:val="en-US"/>
      </w:rPr>
      <w:tab/>
    </w:r>
    <w:r w:rsidR="00387FE3">
      <w:rPr>
        <w:b/>
        <w:noProof/>
        <w:lang w:val="en-US"/>
      </w:rPr>
      <w:tab/>
    </w:r>
    <w:r w:rsidR="00387FE3">
      <w:rPr>
        <w:b/>
        <w:noProof/>
        <w:lang w:val="en-US"/>
      </w:rPr>
      <w:tab/>
    </w:r>
    <w:r w:rsidR="00387FE3">
      <w:rPr>
        <w:b/>
        <w:noProof/>
        <w:lang w:val="en-US"/>
      </w:rPr>
      <w:tab/>
    </w:r>
    <w:r>
      <w:rPr>
        <w:b/>
        <w:noProof/>
        <w:lang w:val="en-US"/>
      </w:rPr>
      <w:t xml:space="preserve">    </w:t>
    </w:r>
    <w:r>
      <w:rPr>
        <w:b/>
        <w:noProof/>
        <w:lang w:val="en-US"/>
      </w:rPr>
      <w:tab/>
    </w:r>
    <w:r>
      <w:rPr>
        <w:b/>
        <w:noProof/>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8729434"/>
    <w:lvl w:ilvl="0">
      <w:start w:val="1"/>
      <w:numFmt w:val="decimal"/>
      <w:lvlText w:val="%1."/>
      <w:lvlJc w:val="left"/>
      <w:pPr>
        <w:tabs>
          <w:tab w:val="num" w:pos="1492"/>
        </w:tabs>
        <w:ind w:left="1492" w:hanging="360"/>
      </w:pPr>
    </w:lvl>
  </w:abstractNum>
  <w:abstractNum w:abstractNumId="1">
    <w:nsid w:val="FFFFFF7D"/>
    <w:multiLevelType w:val="singleLevel"/>
    <w:tmpl w:val="43CEC0A6"/>
    <w:lvl w:ilvl="0">
      <w:start w:val="1"/>
      <w:numFmt w:val="decimal"/>
      <w:pStyle w:val="IBL"/>
      <w:lvlText w:val="%1."/>
      <w:lvlJc w:val="left"/>
      <w:pPr>
        <w:tabs>
          <w:tab w:val="num" w:pos="1209"/>
        </w:tabs>
        <w:ind w:left="1209" w:hanging="360"/>
      </w:pPr>
    </w:lvl>
  </w:abstractNum>
  <w:abstractNum w:abstractNumId="2">
    <w:nsid w:val="FFFFFF7E"/>
    <w:multiLevelType w:val="singleLevel"/>
    <w:tmpl w:val="45CAACA6"/>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D40399"/>
    <w:multiLevelType w:val="hybridMultilevel"/>
    <w:tmpl w:val="4E22FBAE"/>
    <w:lvl w:ilvl="0" w:tplc="ACCED2F6">
      <w:start w:val="1"/>
      <w:numFmt w:val="bullet"/>
      <w:lvlText w:val=""/>
      <w:lvlJc w:val="left"/>
      <w:pPr>
        <w:tabs>
          <w:tab w:val="num" w:pos="947"/>
        </w:tabs>
        <w:ind w:left="947" w:hanging="360"/>
      </w:pPr>
      <w:rPr>
        <w:rFonts w:ascii="Symbol" w:hAnsi="Symbol" w:hint="default"/>
        <w:sz w:val="20"/>
      </w:rPr>
    </w:lvl>
    <w:lvl w:ilvl="1" w:tplc="04090003">
      <w:start w:val="1"/>
      <w:numFmt w:val="bullet"/>
      <w:lvlText w:val="o"/>
      <w:lvlJc w:val="left"/>
      <w:pPr>
        <w:tabs>
          <w:tab w:val="num" w:pos="1667"/>
        </w:tabs>
        <w:ind w:left="1667" w:hanging="360"/>
      </w:pPr>
      <w:rPr>
        <w:rFonts w:ascii="Courier New" w:hAnsi="Courier New" w:cs="Courier New" w:hint="default"/>
      </w:rPr>
    </w:lvl>
    <w:lvl w:ilvl="2" w:tplc="04090005" w:tentative="1">
      <w:start w:val="1"/>
      <w:numFmt w:val="bullet"/>
      <w:lvlText w:val=""/>
      <w:lvlJc w:val="left"/>
      <w:pPr>
        <w:tabs>
          <w:tab w:val="num" w:pos="2387"/>
        </w:tabs>
        <w:ind w:left="2387" w:hanging="360"/>
      </w:pPr>
      <w:rPr>
        <w:rFonts w:ascii="Wingdings" w:hAnsi="Wingdings" w:hint="default"/>
      </w:rPr>
    </w:lvl>
    <w:lvl w:ilvl="3" w:tplc="04090001" w:tentative="1">
      <w:start w:val="1"/>
      <w:numFmt w:val="bullet"/>
      <w:lvlText w:val=""/>
      <w:lvlJc w:val="left"/>
      <w:pPr>
        <w:tabs>
          <w:tab w:val="num" w:pos="3107"/>
        </w:tabs>
        <w:ind w:left="3107" w:hanging="360"/>
      </w:pPr>
      <w:rPr>
        <w:rFonts w:ascii="Symbol" w:hAnsi="Symbol" w:hint="default"/>
      </w:rPr>
    </w:lvl>
    <w:lvl w:ilvl="4" w:tplc="04090003" w:tentative="1">
      <w:start w:val="1"/>
      <w:numFmt w:val="bullet"/>
      <w:lvlText w:val="o"/>
      <w:lvlJc w:val="left"/>
      <w:pPr>
        <w:tabs>
          <w:tab w:val="num" w:pos="3827"/>
        </w:tabs>
        <w:ind w:left="3827" w:hanging="360"/>
      </w:pPr>
      <w:rPr>
        <w:rFonts w:ascii="Courier New" w:hAnsi="Courier New" w:cs="Courier New" w:hint="default"/>
      </w:rPr>
    </w:lvl>
    <w:lvl w:ilvl="5" w:tplc="04090005" w:tentative="1">
      <w:start w:val="1"/>
      <w:numFmt w:val="bullet"/>
      <w:lvlText w:val=""/>
      <w:lvlJc w:val="left"/>
      <w:pPr>
        <w:tabs>
          <w:tab w:val="num" w:pos="4547"/>
        </w:tabs>
        <w:ind w:left="4547" w:hanging="360"/>
      </w:pPr>
      <w:rPr>
        <w:rFonts w:ascii="Wingdings" w:hAnsi="Wingdings" w:hint="default"/>
      </w:rPr>
    </w:lvl>
    <w:lvl w:ilvl="6" w:tplc="04090001" w:tentative="1">
      <w:start w:val="1"/>
      <w:numFmt w:val="bullet"/>
      <w:lvlText w:val=""/>
      <w:lvlJc w:val="left"/>
      <w:pPr>
        <w:tabs>
          <w:tab w:val="num" w:pos="5267"/>
        </w:tabs>
        <w:ind w:left="5267" w:hanging="360"/>
      </w:pPr>
      <w:rPr>
        <w:rFonts w:ascii="Symbol" w:hAnsi="Symbol" w:hint="default"/>
      </w:rPr>
    </w:lvl>
    <w:lvl w:ilvl="7" w:tplc="04090003" w:tentative="1">
      <w:start w:val="1"/>
      <w:numFmt w:val="bullet"/>
      <w:lvlText w:val="o"/>
      <w:lvlJc w:val="left"/>
      <w:pPr>
        <w:tabs>
          <w:tab w:val="num" w:pos="5987"/>
        </w:tabs>
        <w:ind w:left="5987" w:hanging="360"/>
      </w:pPr>
      <w:rPr>
        <w:rFonts w:ascii="Courier New" w:hAnsi="Courier New" w:cs="Courier New" w:hint="default"/>
      </w:rPr>
    </w:lvl>
    <w:lvl w:ilvl="8" w:tplc="04090005" w:tentative="1">
      <w:start w:val="1"/>
      <w:numFmt w:val="bullet"/>
      <w:lvlText w:val=""/>
      <w:lvlJc w:val="left"/>
      <w:pPr>
        <w:tabs>
          <w:tab w:val="num" w:pos="6707"/>
        </w:tabs>
        <w:ind w:left="6707" w:hanging="360"/>
      </w:pPr>
      <w:rPr>
        <w:rFonts w:ascii="Wingdings" w:hAnsi="Wingdings" w:hint="default"/>
      </w:rPr>
    </w:lvl>
  </w:abstractNum>
  <w:abstractNum w:abstractNumId="7">
    <w:nsid w:val="20481CC9"/>
    <w:multiLevelType w:val="hybridMultilevel"/>
    <w:tmpl w:val="205A6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2FC62D5"/>
    <w:multiLevelType w:val="hybridMultilevel"/>
    <w:tmpl w:val="6F463FE8"/>
    <w:lvl w:ilvl="0" w:tplc="ACCED2F6">
      <w:start w:val="1"/>
      <w:numFmt w:val="bullet"/>
      <w:lvlText w:val=""/>
      <w:lvlJc w:val="left"/>
      <w:pPr>
        <w:tabs>
          <w:tab w:val="num" w:pos="947"/>
        </w:tabs>
        <w:ind w:left="947" w:hanging="360"/>
      </w:pPr>
      <w:rPr>
        <w:rFonts w:ascii="Symbol" w:hAnsi="Symbol" w:hint="default"/>
        <w:sz w:val="20"/>
      </w:rPr>
    </w:lvl>
    <w:lvl w:ilvl="1" w:tplc="04090003" w:tentative="1">
      <w:start w:val="1"/>
      <w:numFmt w:val="bullet"/>
      <w:lvlText w:val="o"/>
      <w:lvlJc w:val="left"/>
      <w:pPr>
        <w:tabs>
          <w:tab w:val="num" w:pos="1667"/>
        </w:tabs>
        <w:ind w:left="1667" w:hanging="360"/>
      </w:pPr>
      <w:rPr>
        <w:rFonts w:ascii="Courier New" w:hAnsi="Courier New" w:cs="Courier New" w:hint="default"/>
      </w:rPr>
    </w:lvl>
    <w:lvl w:ilvl="2" w:tplc="04090005" w:tentative="1">
      <w:start w:val="1"/>
      <w:numFmt w:val="bullet"/>
      <w:lvlText w:val=""/>
      <w:lvlJc w:val="left"/>
      <w:pPr>
        <w:tabs>
          <w:tab w:val="num" w:pos="2387"/>
        </w:tabs>
        <w:ind w:left="2387" w:hanging="360"/>
      </w:pPr>
      <w:rPr>
        <w:rFonts w:ascii="Wingdings" w:hAnsi="Wingdings" w:hint="default"/>
      </w:rPr>
    </w:lvl>
    <w:lvl w:ilvl="3" w:tplc="04090001" w:tentative="1">
      <w:start w:val="1"/>
      <w:numFmt w:val="bullet"/>
      <w:lvlText w:val=""/>
      <w:lvlJc w:val="left"/>
      <w:pPr>
        <w:tabs>
          <w:tab w:val="num" w:pos="3107"/>
        </w:tabs>
        <w:ind w:left="3107" w:hanging="360"/>
      </w:pPr>
      <w:rPr>
        <w:rFonts w:ascii="Symbol" w:hAnsi="Symbol" w:hint="default"/>
      </w:rPr>
    </w:lvl>
    <w:lvl w:ilvl="4" w:tplc="04090003" w:tentative="1">
      <w:start w:val="1"/>
      <w:numFmt w:val="bullet"/>
      <w:lvlText w:val="o"/>
      <w:lvlJc w:val="left"/>
      <w:pPr>
        <w:tabs>
          <w:tab w:val="num" w:pos="3827"/>
        </w:tabs>
        <w:ind w:left="3827" w:hanging="360"/>
      </w:pPr>
      <w:rPr>
        <w:rFonts w:ascii="Courier New" w:hAnsi="Courier New" w:cs="Courier New" w:hint="default"/>
      </w:rPr>
    </w:lvl>
    <w:lvl w:ilvl="5" w:tplc="04090005" w:tentative="1">
      <w:start w:val="1"/>
      <w:numFmt w:val="bullet"/>
      <w:lvlText w:val=""/>
      <w:lvlJc w:val="left"/>
      <w:pPr>
        <w:tabs>
          <w:tab w:val="num" w:pos="4547"/>
        </w:tabs>
        <w:ind w:left="4547" w:hanging="360"/>
      </w:pPr>
      <w:rPr>
        <w:rFonts w:ascii="Wingdings" w:hAnsi="Wingdings" w:hint="default"/>
      </w:rPr>
    </w:lvl>
    <w:lvl w:ilvl="6" w:tplc="04090001" w:tentative="1">
      <w:start w:val="1"/>
      <w:numFmt w:val="bullet"/>
      <w:lvlText w:val=""/>
      <w:lvlJc w:val="left"/>
      <w:pPr>
        <w:tabs>
          <w:tab w:val="num" w:pos="5267"/>
        </w:tabs>
        <w:ind w:left="5267" w:hanging="360"/>
      </w:pPr>
      <w:rPr>
        <w:rFonts w:ascii="Symbol" w:hAnsi="Symbol" w:hint="default"/>
      </w:rPr>
    </w:lvl>
    <w:lvl w:ilvl="7" w:tplc="04090003" w:tentative="1">
      <w:start w:val="1"/>
      <w:numFmt w:val="bullet"/>
      <w:lvlText w:val="o"/>
      <w:lvlJc w:val="left"/>
      <w:pPr>
        <w:tabs>
          <w:tab w:val="num" w:pos="5987"/>
        </w:tabs>
        <w:ind w:left="5987" w:hanging="360"/>
      </w:pPr>
      <w:rPr>
        <w:rFonts w:ascii="Courier New" w:hAnsi="Courier New" w:cs="Courier New" w:hint="default"/>
      </w:rPr>
    </w:lvl>
    <w:lvl w:ilvl="8" w:tplc="04090005" w:tentative="1">
      <w:start w:val="1"/>
      <w:numFmt w:val="bullet"/>
      <w:lvlText w:val=""/>
      <w:lvlJc w:val="left"/>
      <w:pPr>
        <w:tabs>
          <w:tab w:val="num" w:pos="6707"/>
        </w:tabs>
        <w:ind w:left="6707" w:hanging="360"/>
      </w:pPr>
      <w:rPr>
        <w:rFonts w:ascii="Wingdings" w:hAnsi="Wingdings" w:hint="default"/>
      </w:rPr>
    </w:lvl>
  </w:abstractNum>
  <w:abstractNum w:abstractNumId="10">
    <w:nsid w:val="34DE6B11"/>
    <w:multiLevelType w:val="hybridMultilevel"/>
    <w:tmpl w:val="6700ED70"/>
    <w:lvl w:ilvl="0" w:tplc="ACCED2F6">
      <w:start w:val="1"/>
      <w:numFmt w:val="bullet"/>
      <w:lvlText w:val=""/>
      <w:lvlJc w:val="left"/>
      <w:pPr>
        <w:tabs>
          <w:tab w:val="num" w:pos="947"/>
        </w:tabs>
        <w:ind w:left="947" w:hanging="360"/>
      </w:pPr>
      <w:rPr>
        <w:rFonts w:ascii="Symbol" w:hAnsi="Symbol" w:hint="default"/>
        <w:sz w:val="20"/>
      </w:rPr>
    </w:lvl>
    <w:lvl w:ilvl="1" w:tplc="04090003" w:tentative="1">
      <w:start w:val="1"/>
      <w:numFmt w:val="bullet"/>
      <w:lvlText w:val="o"/>
      <w:lvlJc w:val="left"/>
      <w:pPr>
        <w:tabs>
          <w:tab w:val="num" w:pos="1667"/>
        </w:tabs>
        <w:ind w:left="1667" w:hanging="360"/>
      </w:pPr>
      <w:rPr>
        <w:rFonts w:ascii="Courier New" w:hAnsi="Courier New" w:cs="Courier New" w:hint="default"/>
      </w:rPr>
    </w:lvl>
    <w:lvl w:ilvl="2" w:tplc="04090005" w:tentative="1">
      <w:start w:val="1"/>
      <w:numFmt w:val="bullet"/>
      <w:lvlText w:val=""/>
      <w:lvlJc w:val="left"/>
      <w:pPr>
        <w:tabs>
          <w:tab w:val="num" w:pos="2387"/>
        </w:tabs>
        <w:ind w:left="2387" w:hanging="360"/>
      </w:pPr>
      <w:rPr>
        <w:rFonts w:ascii="Wingdings" w:hAnsi="Wingdings" w:hint="default"/>
      </w:rPr>
    </w:lvl>
    <w:lvl w:ilvl="3" w:tplc="04090001" w:tentative="1">
      <w:start w:val="1"/>
      <w:numFmt w:val="bullet"/>
      <w:lvlText w:val=""/>
      <w:lvlJc w:val="left"/>
      <w:pPr>
        <w:tabs>
          <w:tab w:val="num" w:pos="3107"/>
        </w:tabs>
        <w:ind w:left="3107" w:hanging="360"/>
      </w:pPr>
      <w:rPr>
        <w:rFonts w:ascii="Symbol" w:hAnsi="Symbol" w:hint="default"/>
      </w:rPr>
    </w:lvl>
    <w:lvl w:ilvl="4" w:tplc="04090003" w:tentative="1">
      <w:start w:val="1"/>
      <w:numFmt w:val="bullet"/>
      <w:lvlText w:val="o"/>
      <w:lvlJc w:val="left"/>
      <w:pPr>
        <w:tabs>
          <w:tab w:val="num" w:pos="3827"/>
        </w:tabs>
        <w:ind w:left="3827" w:hanging="360"/>
      </w:pPr>
      <w:rPr>
        <w:rFonts w:ascii="Courier New" w:hAnsi="Courier New" w:cs="Courier New" w:hint="default"/>
      </w:rPr>
    </w:lvl>
    <w:lvl w:ilvl="5" w:tplc="04090005" w:tentative="1">
      <w:start w:val="1"/>
      <w:numFmt w:val="bullet"/>
      <w:lvlText w:val=""/>
      <w:lvlJc w:val="left"/>
      <w:pPr>
        <w:tabs>
          <w:tab w:val="num" w:pos="4547"/>
        </w:tabs>
        <w:ind w:left="4547" w:hanging="360"/>
      </w:pPr>
      <w:rPr>
        <w:rFonts w:ascii="Wingdings" w:hAnsi="Wingdings" w:hint="default"/>
      </w:rPr>
    </w:lvl>
    <w:lvl w:ilvl="6" w:tplc="04090001" w:tentative="1">
      <w:start w:val="1"/>
      <w:numFmt w:val="bullet"/>
      <w:lvlText w:val=""/>
      <w:lvlJc w:val="left"/>
      <w:pPr>
        <w:tabs>
          <w:tab w:val="num" w:pos="5267"/>
        </w:tabs>
        <w:ind w:left="5267" w:hanging="360"/>
      </w:pPr>
      <w:rPr>
        <w:rFonts w:ascii="Symbol" w:hAnsi="Symbol" w:hint="default"/>
      </w:rPr>
    </w:lvl>
    <w:lvl w:ilvl="7" w:tplc="04090003" w:tentative="1">
      <w:start w:val="1"/>
      <w:numFmt w:val="bullet"/>
      <w:lvlText w:val="o"/>
      <w:lvlJc w:val="left"/>
      <w:pPr>
        <w:tabs>
          <w:tab w:val="num" w:pos="5987"/>
        </w:tabs>
        <w:ind w:left="5987" w:hanging="360"/>
      </w:pPr>
      <w:rPr>
        <w:rFonts w:ascii="Courier New" w:hAnsi="Courier New" w:cs="Courier New" w:hint="default"/>
      </w:rPr>
    </w:lvl>
    <w:lvl w:ilvl="8" w:tplc="04090005" w:tentative="1">
      <w:start w:val="1"/>
      <w:numFmt w:val="bullet"/>
      <w:lvlText w:val=""/>
      <w:lvlJc w:val="left"/>
      <w:pPr>
        <w:tabs>
          <w:tab w:val="num" w:pos="6707"/>
        </w:tabs>
        <w:ind w:left="6707"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AB0656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536B094C"/>
    <w:multiLevelType w:val="hybridMultilevel"/>
    <w:tmpl w:val="392EF442"/>
    <w:lvl w:ilvl="0" w:tplc="32B469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72116FD"/>
    <w:multiLevelType w:val="hybridMultilevel"/>
    <w:tmpl w:val="2E2A5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184BF4"/>
    <w:multiLevelType w:val="hybridMultilevel"/>
    <w:tmpl w:val="630885E6"/>
    <w:lvl w:ilvl="0" w:tplc="09C2A3DA">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F500DA"/>
    <w:multiLevelType w:val="hybridMultilevel"/>
    <w:tmpl w:val="473A049E"/>
    <w:lvl w:ilvl="0" w:tplc="72209C44">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8"/>
  </w:num>
  <w:num w:numId="8">
    <w:abstractNumId w:val="11"/>
  </w:num>
  <w:num w:numId="9">
    <w:abstractNumId w:val="14"/>
  </w:num>
  <w:num w:numId="10">
    <w:abstractNumId w:val="18"/>
  </w:num>
  <w:num w:numId="11">
    <w:abstractNumId w:val="6"/>
  </w:num>
  <w:num w:numId="12">
    <w:abstractNumId w:val="10"/>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9"/>
  </w:num>
  <w:num w:numId="20">
    <w:abstractNumId w:val="12"/>
  </w:num>
  <w:num w:numId="21">
    <w:abstractNumId w:val="0"/>
  </w:num>
  <w:num w:numId="22">
    <w:abstractNumId w:val="7"/>
  </w:num>
  <w:num w:numId="23">
    <w:abstractNumId w:val="15"/>
  </w:num>
  <w:num w:numId="24">
    <w:abstractNumId w:val="13"/>
  </w:num>
  <w:num w:numId="25">
    <w:abstractNumId w:val="17"/>
  </w:num>
  <w:num w:numId="26">
    <w:abstractNumId w:val="16"/>
  </w:num>
  <w:num w:numId="2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CDD"/>
    <w:rsid w:val="00001CD0"/>
    <w:rsid w:val="0000229F"/>
    <w:rsid w:val="000024E4"/>
    <w:rsid w:val="0000262D"/>
    <w:rsid w:val="00003354"/>
    <w:rsid w:val="00004093"/>
    <w:rsid w:val="00004F32"/>
    <w:rsid w:val="00006EB3"/>
    <w:rsid w:val="0000723E"/>
    <w:rsid w:val="00007639"/>
    <w:rsid w:val="00007A29"/>
    <w:rsid w:val="00007FB7"/>
    <w:rsid w:val="00010803"/>
    <w:rsid w:val="00010AB5"/>
    <w:rsid w:val="0001175D"/>
    <w:rsid w:val="00011DEE"/>
    <w:rsid w:val="00012730"/>
    <w:rsid w:val="0001283C"/>
    <w:rsid w:val="000140A6"/>
    <w:rsid w:val="00015C59"/>
    <w:rsid w:val="00015D3A"/>
    <w:rsid w:val="00016C26"/>
    <w:rsid w:val="0001780A"/>
    <w:rsid w:val="00020593"/>
    <w:rsid w:val="00020EAD"/>
    <w:rsid w:val="000217A5"/>
    <w:rsid w:val="00021948"/>
    <w:rsid w:val="000223F4"/>
    <w:rsid w:val="00023CB2"/>
    <w:rsid w:val="00023F23"/>
    <w:rsid w:val="0002404E"/>
    <w:rsid w:val="00026F40"/>
    <w:rsid w:val="0003194C"/>
    <w:rsid w:val="00032481"/>
    <w:rsid w:val="00036EDB"/>
    <w:rsid w:val="00037D6B"/>
    <w:rsid w:val="0004021D"/>
    <w:rsid w:val="000432B9"/>
    <w:rsid w:val="000434F0"/>
    <w:rsid w:val="00046844"/>
    <w:rsid w:val="000476F1"/>
    <w:rsid w:val="000477BE"/>
    <w:rsid w:val="000502AE"/>
    <w:rsid w:val="0005267D"/>
    <w:rsid w:val="000546BB"/>
    <w:rsid w:val="0005531F"/>
    <w:rsid w:val="000561FD"/>
    <w:rsid w:val="0005639E"/>
    <w:rsid w:val="000568B3"/>
    <w:rsid w:val="00056921"/>
    <w:rsid w:val="00056D4F"/>
    <w:rsid w:val="00057B8E"/>
    <w:rsid w:val="00057CF3"/>
    <w:rsid w:val="000617ED"/>
    <w:rsid w:val="00062293"/>
    <w:rsid w:val="000632A2"/>
    <w:rsid w:val="000635EE"/>
    <w:rsid w:val="00064C9F"/>
    <w:rsid w:val="00065596"/>
    <w:rsid w:val="00065FC7"/>
    <w:rsid w:val="00067D31"/>
    <w:rsid w:val="00071548"/>
    <w:rsid w:val="00071AF4"/>
    <w:rsid w:val="00072BAE"/>
    <w:rsid w:val="00074479"/>
    <w:rsid w:val="0008045A"/>
    <w:rsid w:val="00081591"/>
    <w:rsid w:val="00081D0E"/>
    <w:rsid w:val="00082068"/>
    <w:rsid w:val="00082CF2"/>
    <w:rsid w:val="00083CE0"/>
    <w:rsid w:val="00084917"/>
    <w:rsid w:val="000857E1"/>
    <w:rsid w:val="00085B0D"/>
    <w:rsid w:val="00085F02"/>
    <w:rsid w:val="0008658A"/>
    <w:rsid w:val="000865DB"/>
    <w:rsid w:val="00087BE7"/>
    <w:rsid w:val="00090398"/>
    <w:rsid w:val="00091174"/>
    <w:rsid w:val="00091E68"/>
    <w:rsid w:val="000976AC"/>
    <w:rsid w:val="000A0F2E"/>
    <w:rsid w:val="000A1789"/>
    <w:rsid w:val="000A2AF0"/>
    <w:rsid w:val="000A614E"/>
    <w:rsid w:val="000A74D8"/>
    <w:rsid w:val="000A75A6"/>
    <w:rsid w:val="000A764B"/>
    <w:rsid w:val="000B0822"/>
    <w:rsid w:val="000B0D3D"/>
    <w:rsid w:val="000B3D19"/>
    <w:rsid w:val="000B4A93"/>
    <w:rsid w:val="000B4CA8"/>
    <w:rsid w:val="000B60B6"/>
    <w:rsid w:val="000C01CF"/>
    <w:rsid w:val="000C0513"/>
    <w:rsid w:val="000C0EF3"/>
    <w:rsid w:val="000C246D"/>
    <w:rsid w:val="000C2BF3"/>
    <w:rsid w:val="000C46E8"/>
    <w:rsid w:val="000C5F8A"/>
    <w:rsid w:val="000C68E2"/>
    <w:rsid w:val="000C6B47"/>
    <w:rsid w:val="000C724E"/>
    <w:rsid w:val="000C7E27"/>
    <w:rsid w:val="000D04AC"/>
    <w:rsid w:val="000D054B"/>
    <w:rsid w:val="000D0E28"/>
    <w:rsid w:val="000D1A4C"/>
    <w:rsid w:val="000D42AC"/>
    <w:rsid w:val="000D4DE9"/>
    <w:rsid w:val="000D52C4"/>
    <w:rsid w:val="000D5673"/>
    <w:rsid w:val="000D56D0"/>
    <w:rsid w:val="000D5EF9"/>
    <w:rsid w:val="000D5F36"/>
    <w:rsid w:val="000D6359"/>
    <w:rsid w:val="000D63EA"/>
    <w:rsid w:val="000D68A1"/>
    <w:rsid w:val="000D6A70"/>
    <w:rsid w:val="000D7EFF"/>
    <w:rsid w:val="000E0287"/>
    <w:rsid w:val="000E0C1A"/>
    <w:rsid w:val="000E14D7"/>
    <w:rsid w:val="000E3537"/>
    <w:rsid w:val="000E46B6"/>
    <w:rsid w:val="000E4DE7"/>
    <w:rsid w:val="000E52B9"/>
    <w:rsid w:val="000E6058"/>
    <w:rsid w:val="000E7150"/>
    <w:rsid w:val="000E7410"/>
    <w:rsid w:val="000F018B"/>
    <w:rsid w:val="000F0A0A"/>
    <w:rsid w:val="000F0BCB"/>
    <w:rsid w:val="000F0C49"/>
    <w:rsid w:val="000F186D"/>
    <w:rsid w:val="000F56BC"/>
    <w:rsid w:val="000F7415"/>
    <w:rsid w:val="000F788A"/>
    <w:rsid w:val="00100EDF"/>
    <w:rsid w:val="00101EDB"/>
    <w:rsid w:val="00102A08"/>
    <w:rsid w:val="001038AA"/>
    <w:rsid w:val="001043EF"/>
    <w:rsid w:val="0010477A"/>
    <w:rsid w:val="0010586B"/>
    <w:rsid w:val="00105E9B"/>
    <w:rsid w:val="00107295"/>
    <w:rsid w:val="001116D8"/>
    <w:rsid w:val="001132C2"/>
    <w:rsid w:val="001155D5"/>
    <w:rsid w:val="00115719"/>
    <w:rsid w:val="00116008"/>
    <w:rsid w:val="001204D3"/>
    <w:rsid w:val="00120E77"/>
    <w:rsid w:val="001223FB"/>
    <w:rsid w:val="001226FA"/>
    <w:rsid w:val="00123AD8"/>
    <w:rsid w:val="001249D5"/>
    <w:rsid w:val="00125AEF"/>
    <w:rsid w:val="00125E86"/>
    <w:rsid w:val="00125F33"/>
    <w:rsid w:val="00126D32"/>
    <w:rsid w:val="0012713B"/>
    <w:rsid w:val="00127227"/>
    <w:rsid w:val="00130242"/>
    <w:rsid w:val="0013116B"/>
    <w:rsid w:val="00131FD3"/>
    <w:rsid w:val="00132466"/>
    <w:rsid w:val="00132DB7"/>
    <w:rsid w:val="001368AE"/>
    <w:rsid w:val="00137A6A"/>
    <w:rsid w:val="00140B83"/>
    <w:rsid w:val="001433B2"/>
    <w:rsid w:val="00144049"/>
    <w:rsid w:val="00145990"/>
    <w:rsid w:val="00146187"/>
    <w:rsid w:val="00146503"/>
    <w:rsid w:val="00146961"/>
    <w:rsid w:val="001474F8"/>
    <w:rsid w:val="00150483"/>
    <w:rsid w:val="0015131D"/>
    <w:rsid w:val="001519E1"/>
    <w:rsid w:val="00152B28"/>
    <w:rsid w:val="00152BC4"/>
    <w:rsid w:val="00153E66"/>
    <w:rsid w:val="001547D7"/>
    <w:rsid w:val="00154A3E"/>
    <w:rsid w:val="00154D56"/>
    <w:rsid w:val="00155385"/>
    <w:rsid w:val="001575EA"/>
    <w:rsid w:val="00157F3D"/>
    <w:rsid w:val="001604B3"/>
    <w:rsid w:val="00161BB9"/>
    <w:rsid w:val="00162633"/>
    <w:rsid w:val="001648B6"/>
    <w:rsid w:val="00164B61"/>
    <w:rsid w:val="00164E81"/>
    <w:rsid w:val="001650C3"/>
    <w:rsid w:val="001670CA"/>
    <w:rsid w:val="0017195E"/>
    <w:rsid w:val="00171E47"/>
    <w:rsid w:val="001723C5"/>
    <w:rsid w:val="00173B04"/>
    <w:rsid w:val="00173BF5"/>
    <w:rsid w:val="001744E3"/>
    <w:rsid w:val="00175A90"/>
    <w:rsid w:val="00176DD7"/>
    <w:rsid w:val="00176F82"/>
    <w:rsid w:val="00177B39"/>
    <w:rsid w:val="001813CE"/>
    <w:rsid w:val="00181AD7"/>
    <w:rsid w:val="001830D6"/>
    <w:rsid w:val="0018501E"/>
    <w:rsid w:val="00185060"/>
    <w:rsid w:val="001865CD"/>
    <w:rsid w:val="00186BB6"/>
    <w:rsid w:val="001879A6"/>
    <w:rsid w:val="00187FFC"/>
    <w:rsid w:val="001919BD"/>
    <w:rsid w:val="00192386"/>
    <w:rsid w:val="0019274D"/>
    <w:rsid w:val="00193BE6"/>
    <w:rsid w:val="00195908"/>
    <w:rsid w:val="00195DE4"/>
    <w:rsid w:val="00197741"/>
    <w:rsid w:val="001A14DB"/>
    <w:rsid w:val="001A2C52"/>
    <w:rsid w:val="001A2DC3"/>
    <w:rsid w:val="001A31E6"/>
    <w:rsid w:val="001A3B8A"/>
    <w:rsid w:val="001A68ED"/>
    <w:rsid w:val="001A6A60"/>
    <w:rsid w:val="001A74BA"/>
    <w:rsid w:val="001B11C2"/>
    <w:rsid w:val="001B1402"/>
    <w:rsid w:val="001B1A12"/>
    <w:rsid w:val="001B391F"/>
    <w:rsid w:val="001B4E2B"/>
    <w:rsid w:val="001B7283"/>
    <w:rsid w:val="001C03F9"/>
    <w:rsid w:val="001C0F49"/>
    <w:rsid w:val="001C2F0C"/>
    <w:rsid w:val="001C34D8"/>
    <w:rsid w:val="001C3652"/>
    <w:rsid w:val="001C76E9"/>
    <w:rsid w:val="001D01D4"/>
    <w:rsid w:val="001D18E1"/>
    <w:rsid w:val="001D1BBC"/>
    <w:rsid w:val="001D26AD"/>
    <w:rsid w:val="001D2E19"/>
    <w:rsid w:val="001D395A"/>
    <w:rsid w:val="001D5D53"/>
    <w:rsid w:val="001D6B9A"/>
    <w:rsid w:val="001D7CFD"/>
    <w:rsid w:val="001D7D6F"/>
    <w:rsid w:val="001E0AFF"/>
    <w:rsid w:val="001E0C62"/>
    <w:rsid w:val="001E12A1"/>
    <w:rsid w:val="001E15B3"/>
    <w:rsid w:val="001E2B59"/>
    <w:rsid w:val="001E4193"/>
    <w:rsid w:val="001E50C4"/>
    <w:rsid w:val="001E5700"/>
    <w:rsid w:val="001E5F92"/>
    <w:rsid w:val="001E72A5"/>
    <w:rsid w:val="001E7866"/>
    <w:rsid w:val="001E7D83"/>
    <w:rsid w:val="001F00FD"/>
    <w:rsid w:val="001F4591"/>
    <w:rsid w:val="001F5CA6"/>
    <w:rsid w:val="001F7512"/>
    <w:rsid w:val="00200091"/>
    <w:rsid w:val="00201068"/>
    <w:rsid w:val="00201CE3"/>
    <w:rsid w:val="0020367B"/>
    <w:rsid w:val="00204135"/>
    <w:rsid w:val="00204F81"/>
    <w:rsid w:val="00205E4A"/>
    <w:rsid w:val="00205FC8"/>
    <w:rsid w:val="0020665C"/>
    <w:rsid w:val="00206933"/>
    <w:rsid w:val="00206B48"/>
    <w:rsid w:val="0020716D"/>
    <w:rsid w:val="00212200"/>
    <w:rsid w:val="0021472A"/>
    <w:rsid w:val="00214F0C"/>
    <w:rsid w:val="00215340"/>
    <w:rsid w:val="00216391"/>
    <w:rsid w:val="002163DA"/>
    <w:rsid w:val="00220A96"/>
    <w:rsid w:val="00220D2A"/>
    <w:rsid w:val="002217A2"/>
    <w:rsid w:val="00223B6C"/>
    <w:rsid w:val="00223BEE"/>
    <w:rsid w:val="00223DD7"/>
    <w:rsid w:val="0022497A"/>
    <w:rsid w:val="00224C1F"/>
    <w:rsid w:val="0023073F"/>
    <w:rsid w:val="0023144A"/>
    <w:rsid w:val="00231EC7"/>
    <w:rsid w:val="00232DEE"/>
    <w:rsid w:val="00233AD2"/>
    <w:rsid w:val="0023604C"/>
    <w:rsid w:val="00236915"/>
    <w:rsid w:val="0023791F"/>
    <w:rsid w:val="00240E3E"/>
    <w:rsid w:val="00240EC4"/>
    <w:rsid w:val="0024107F"/>
    <w:rsid w:val="00241368"/>
    <w:rsid w:val="00241579"/>
    <w:rsid w:val="0024169A"/>
    <w:rsid w:val="0024259A"/>
    <w:rsid w:val="00244060"/>
    <w:rsid w:val="002446A2"/>
    <w:rsid w:val="0024500B"/>
    <w:rsid w:val="00245411"/>
    <w:rsid w:val="002458A5"/>
    <w:rsid w:val="00245AC6"/>
    <w:rsid w:val="00247F04"/>
    <w:rsid w:val="00250390"/>
    <w:rsid w:val="0025122D"/>
    <w:rsid w:val="00251D45"/>
    <w:rsid w:val="00252893"/>
    <w:rsid w:val="0025295A"/>
    <w:rsid w:val="00253A9A"/>
    <w:rsid w:val="002551CD"/>
    <w:rsid w:val="00256007"/>
    <w:rsid w:val="00256299"/>
    <w:rsid w:val="00257FBB"/>
    <w:rsid w:val="00257FC8"/>
    <w:rsid w:val="00260109"/>
    <w:rsid w:val="0026026E"/>
    <w:rsid w:val="00261913"/>
    <w:rsid w:val="002621FD"/>
    <w:rsid w:val="00262640"/>
    <w:rsid w:val="00262BE5"/>
    <w:rsid w:val="0026306D"/>
    <w:rsid w:val="002636EC"/>
    <w:rsid w:val="00263747"/>
    <w:rsid w:val="002643A2"/>
    <w:rsid w:val="00264773"/>
    <w:rsid w:val="002654E0"/>
    <w:rsid w:val="00265B93"/>
    <w:rsid w:val="00266778"/>
    <w:rsid w:val="0026749A"/>
    <w:rsid w:val="00272035"/>
    <w:rsid w:val="00272B58"/>
    <w:rsid w:val="002732F8"/>
    <w:rsid w:val="0027462D"/>
    <w:rsid w:val="00274BDD"/>
    <w:rsid w:val="00276C25"/>
    <w:rsid w:val="0027726F"/>
    <w:rsid w:val="00277F92"/>
    <w:rsid w:val="00280527"/>
    <w:rsid w:val="00282F72"/>
    <w:rsid w:val="00283416"/>
    <w:rsid w:val="002834F4"/>
    <w:rsid w:val="00283F6C"/>
    <w:rsid w:val="00284C25"/>
    <w:rsid w:val="00285F61"/>
    <w:rsid w:val="002937E7"/>
    <w:rsid w:val="00293EA6"/>
    <w:rsid w:val="00294DF7"/>
    <w:rsid w:val="002966D2"/>
    <w:rsid w:val="002967C3"/>
    <w:rsid w:val="00296BAE"/>
    <w:rsid w:val="00296C13"/>
    <w:rsid w:val="002972CE"/>
    <w:rsid w:val="00297B7A"/>
    <w:rsid w:val="002A21A2"/>
    <w:rsid w:val="002A235E"/>
    <w:rsid w:val="002A2719"/>
    <w:rsid w:val="002A2EBD"/>
    <w:rsid w:val="002A428F"/>
    <w:rsid w:val="002B111F"/>
    <w:rsid w:val="002B2339"/>
    <w:rsid w:val="002B341F"/>
    <w:rsid w:val="002B37EB"/>
    <w:rsid w:val="002B6666"/>
    <w:rsid w:val="002B6A64"/>
    <w:rsid w:val="002B7360"/>
    <w:rsid w:val="002C0369"/>
    <w:rsid w:val="002C168B"/>
    <w:rsid w:val="002C2151"/>
    <w:rsid w:val="002C2C8D"/>
    <w:rsid w:val="002C3436"/>
    <w:rsid w:val="002C6CB3"/>
    <w:rsid w:val="002C6E37"/>
    <w:rsid w:val="002C790C"/>
    <w:rsid w:val="002C7B47"/>
    <w:rsid w:val="002D0C03"/>
    <w:rsid w:val="002D19D8"/>
    <w:rsid w:val="002D2269"/>
    <w:rsid w:val="002D28DA"/>
    <w:rsid w:val="002D2D95"/>
    <w:rsid w:val="002D36D3"/>
    <w:rsid w:val="002D415A"/>
    <w:rsid w:val="002D4822"/>
    <w:rsid w:val="002D4FA5"/>
    <w:rsid w:val="002D5B56"/>
    <w:rsid w:val="002D75BD"/>
    <w:rsid w:val="002D7677"/>
    <w:rsid w:val="002D784B"/>
    <w:rsid w:val="002E12EA"/>
    <w:rsid w:val="002E1C69"/>
    <w:rsid w:val="002E2199"/>
    <w:rsid w:val="002E253A"/>
    <w:rsid w:val="002E43B2"/>
    <w:rsid w:val="002E634A"/>
    <w:rsid w:val="002E6E59"/>
    <w:rsid w:val="002E7DCD"/>
    <w:rsid w:val="002F0113"/>
    <w:rsid w:val="002F0AD0"/>
    <w:rsid w:val="002F0D0E"/>
    <w:rsid w:val="002F1070"/>
    <w:rsid w:val="002F14AC"/>
    <w:rsid w:val="002F3C66"/>
    <w:rsid w:val="002F5675"/>
    <w:rsid w:val="002F59CF"/>
    <w:rsid w:val="002F69C2"/>
    <w:rsid w:val="002F6E90"/>
    <w:rsid w:val="00300180"/>
    <w:rsid w:val="00300664"/>
    <w:rsid w:val="00300A74"/>
    <w:rsid w:val="003040F0"/>
    <w:rsid w:val="003063A5"/>
    <w:rsid w:val="00307D88"/>
    <w:rsid w:val="003107ED"/>
    <w:rsid w:val="003119CA"/>
    <w:rsid w:val="00312FC6"/>
    <w:rsid w:val="003134BB"/>
    <w:rsid w:val="00313633"/>
    <w:rsid w:val="00313A9F"/>
    <w:rsid w:val="00315D93"/>
    <w:rsid w:val="00315DBD"/>
    <w:rsid w:val="003232C4"/>
    <w:rsid w:val="00323AA6"/>
    <w:rsid w:val="00324A23"/>
    <w:rsid w:val="00326E33"/>
    <w:rsid w:val="00326F52"/>
    <w:rsid w:val="00327449"/>
    <w:rsid w:val="00330D9F"/>
    <w:rsid w:val="003339C5"/>
    <w:rsid w:val="00333F9F"/>
    <w:rsid w:val="0033417A"/>
    <w:rsid w:val="00335A7F"/>
    <w:rsid w:val="00335C8C"/>
    <w:rsid w:val="00335D65"/>
    <w:rsid w:val="00336117"/>
    <w:rsid w:val="003377A3"/>
    <w:rsid w:val="00337A5E"/>
    <w:rsid w:val="00340979"/>
    <w:rsid w:val="003423B9"/>
    <w:rsid w:val="00342FEE"/>
    <w:rsid w:val="003430FE"/>
    <w:rsid w:val="00343A5A"/>
    <w:rsid w:val="00344839"/>
    <w:rsid w:val="00345702"/>
    <w:rsid w:val="003468BC"/>
    <w:rsid w:val="00347D6D"/>
    <w:rsid w:val="00350296"/>
    <w:rsid w:val="003549E9"/>
    <w:rsid w:val="0035608E"/>
    <w:rsid w:val="003566D7"/>
    <w:rsid w:val="00356D50"/>
    <w:rsid w:val="00356ED2"/>
    <w:rsid w:val="00360675"/>
    <w:rsid w:val="00360E32"/>
    <w:rsid w:val="00362535"/>
    <w:rsid w:val="00362C4C"/>
    <w:rsid w:val="00364223"/>
    <w:rsid w:val="00366419"/>
    <w:rsid w:val="00366680"/>
    <w:rsid w:val="00366FA2"/>
    <w:rsid w:val="003670BA"/>
    <w:rsid w:val="00371E9D"/>
    <w:rsid w:val="003725DB"/>
    <w:rsid w:val="00372D07"/>
    <w:rsid w:val="0037329F"/>
    <w:rsid w:val="003734D7"/>
    <w:rsid w:val="00373F48"/>
    <w:rsid w:val="0037417F"/>
    <w:rsid w:val="003745BC"/>
    <w:rsid w:val="00374C18"/>
    <w:rsid w:val="003772EB"/>
    <w:rsid w:val="003804A3"/>
    <w:rsid w:val="00380721"/>
    <w:rsid w:val="00380CA8"/>
    <w:rsid w:val="003816F1"/>
    <w:rsid w:val="00381D2D"/>
    <w:rsid w:val="003837F9"/>
    <w:rsid w:val="0038409C"/>
    <w:rsid w:val="00384A55"/>
    <w:rsid w:val="0038638F"/>
    <w:rsid w:val="003864C5"/>
    <w:rsid w:val="003868E6"/>
    <w:rsid w:val="00387F66"/>
    <w:rsid w:val="00387FE3"/>
    <w:rsid w:val="00392BCA"/>
    <w:rsid w:val="00392D81"/>
    <w:rsid w:val="003930C9"/>
    <w:rsid w:val="003947B3"/>
    <w:rsid w:val="00395308"/>
    <w:rsid w:val="003960D8"/>
    <w:rsid w:val="003966BD"/>
    <w:rsid w:val="003967AD"/>
    <w:rsid w:val="00397C15"/>
    <w:rsid w:val="003A027F"/>
    <w:rsid w:val="003A0626"/>
    <w:rsid w:val="003A07D5"/>
    <w:rsid w:val="003A102E"/>
    <w:rsid w:val="003A1EDC"/>
    <w:rsid w:val="003A26EA"/>
    <w:rsid w:val="003A3E09"/>
    <w:rsid w:val="003A4729"/>
    <w:rsid w:val="003A50A4"/>
    <w:rsid w:val="003A6101"/>
    <w:rsid w:val="003A615F"/>
    <w:rsid w:val="003B0263"/>
    <w:rsid w:val="003B0C4D"/>
    <w:rsid w:val="003B0E1E"/>
    <w:rsid w:val="003B1908"/>
    <w:rsid w:val="003B2760"/>
    <w:rsid w:val="003B2F9E"/>
    <w:rsid w:val="003B4192"/>
    <w:rsid w:val="003B537D"/>
    <w:rsid w:val="003B650A"/>
    <w:rsid w:val="003B7F73"/>
    <w:rsid w:val="003C0BD5"/>
    <w:rsid w:val="003C0CB1"/>
    <w:rsid w:val="003C184B"/>
    <w:rsid w:val="003C1B66"/>
    <w:rsid w:val="003C2707"/>
    <w:rsid w:val="003C3A1B"/>
    <w:rsid w:val="003C4258"/>
    <w:rsid w:val="003C533F"/>
    <w:rsid w:val="003C56F6"/>
    <w:rsid w:val="003C595E"/>
    <w:rsid w:val="003C60FD"/>
    <w:rsid w:val="003C7283"/>
    <w:rsid w:val="003D00E2"/>
    <w:rsid w:val="003D0379"/>
    <w:rsid w:val="003D3489"/>
    <w:rsid w:val="003D3A09"/>
    <w:rsid w:val="003D50DE"/>
    <w:rsid w:val="003D5365"/>
    <w:rsid w:val="003D5915"/>
    <w:rsid w:val="003E05FE"/>
    <w:rsid w:val="003E06E6"/>
    <w:rsid w:val="003E129B"/>
    <w:rsid w:val="003E13BA"/>
    <w:rsid w:val="003E4964"/>
    <w:rsid w:val="003E573B"/>
    <w:rsid w:val="003E5917"/>
    <w:rsid w:val="003E6521"/>
    <w:rsid w:val="003F0066"/>
    <w:rsid w:val="003F0E0F"/>
    <w:rsid w:val="003F10F2"/>
    <w:rsid w:val="003F32B0"/>
    <w:rsid w:val="003F3AE1"/>
    <w:rsid w:val="003F3F4C"/>
    <w:rsid w:val="003F401B"/>
    <w:rsid w:val="003F6345"/>
    <w:rsid w:val="003F655D"/>
    <w:rsid w:val="003F66D2"/>
    <w:rsid w:val="00400BC0"/>
    <w:rsid w:val="00401B4C"/>
    <w:rsid w:val="00402ED5"/>
    <w:rsid w:val="00403747"/>
    <w:rsid w:val="00403A4E"/>
    <w:rsid w:val="00404F48"/>
    <w:rsid w:val="0040546A"/>
    <w:rsid w:val="004055EC"/>
    <w:rsid w:val="00406DC2"/>
    <w:rsid w:val="00411A1D"/>
    <w:rsid w:val="0041212A"/>
    <w:rsid w:val="004129F7"/>
    <w:rsid w:val="00412C79"/>
    <w:rsid w:val="00414A95"/>
    <w:rsid w:val="00416674"/>
    <w:rsid w:val="00416906"/>
    <w:rsid w:val="00417771"/>
    <w:rsid w:val="00420564"/>
    <w:rsid w:val="00422D60"/>
    <w:rsid w:val="00423D66"/>
    <w:rsid w:val="00424CBB"/>
    <w:rsid w:val="00426110"/>
    <w:rsid w:val="00426A4B"/>
    <w:rsid w:val="00426EE9"/>
    <w:rsid w:val="00427216"/>
    <w:rsid w:val="00430E23"/>
    <w:rsid w:val="004310B2"/>
    <w:rsid w:val="0043199C"/>
    <w:rsid w:val="00431BFB"/>
    <w:rsid w:val="00432A46"/>
    <w:rsid w:val="00433BB1"/>
    <w:rsid w:val="00435505"/>
    <w:rsid w:val="004362AD"/>
    <w:rsid w:val="00436C08"/>
    <w:rsid w:val="0043757D"/>
    <w:rsid w:val="00440418"/>
    <w:rsid w:val="004458B1"/>
    <w:rsid w:val="00445F53"/>
    <w:rsid w:val="00447BE8"/>
    <w:rsid w:val="00450C9A"/>
    <w:rsid w:val="0045255E"/>
    <w:rsid w:val="004527ED"/>
    <w:rsid w:val="00453A9A"/>
    <w:rsid w:val="00453FD2"/>
    <w:rsid w:val="004548F7"/>
    <w:rsid w:val="00454D74"/>
    <w:rsid w:val="00454F23"/>
    <w:rsid w:val="00455ACC"/>
    <w:rsid w:val="00455C77"/>
    <w:rsid w:val="00456014"/>
    <w:rsid w:val="004575A3"/>
    <w:rsid w:val="00460068"/>
    <w:rsid w:val="004600B0"/>
    <w:rsid w:val="004628CF"/>
    <w:rsid w:val="00462CD5"/>
    <w:rsid w:val="00463E0E"/>
    <w:rsid w:val="00464B47"/>
    <w:rsid w:val="00465EC1"/>
    <w:rsid w:val="0046669A"/>
    <w:rsid w:val="00467ACE"/>
    <w:rsid w:val="00470004"/>
    <w:rsid w:val="00470163"/>
    <w:rsid w:val="00470954"/>
    <w:rsid w:val="00471C65"/>
    <w:rsid w:val="00472DBB"/>
    <w:rsid w:val="00472E97"/>
    <w:rsid w:val="00473730"/>
    <w:rsid w:val="0047462E"/>
    <w:rsid w:val="00474DAD"/>
    <w:rsid w:val="00477F1D"/>
    <w:rsid w:val="0048001C"/>
    <w:rsid w:val="004807A0"/>
    <w:rsid w:val="00480A76"/>
    <w:rsid w:val="00481291"/>
    <w:rsid w:val="004812CD"/>
    <w:rsid w:val="00482735"/>
    <w:rsid w:val="00483D93"/>
    <w:rsid w:val="00484818"/>
    <w:rsid w:val="00485FB5"/>
    <w:rsid w:val="00490A59"/>
    <w:rsid w:val="00490C01"/>
    <w:rsid w:val="0049190D"/>
    <w:rsid w:val="00491E82"/>
    <w:rsid w:val="004920E9"/>
    <w:rsid w:val="00492527"/>
    <w:rsid w:val="00493201"/>
    <w:rsid w:val="00493D9F"/>
    <w:rsid w:val="00493E26"/>
    <w:rsid w:val="00497742"/>
    <w:rsid w:val="00497753"/>
    <w:rsid w:val="004A1BC5"/>
    <w:rsid w:val="004A32CD"/>
    <w:rsid w:val="004A3361"/>
    <w:rsid w:val="004A53E3"/>
    <w:rsid w:val="004A58A2"/>
    <w:rsid w:val="004A60E2"/>
    <w:rsid w:val="004A69C8"/>
    <w:rsid w:val="004A7004"/>
    <w:rsid w:val="004A76FB"/>
    <w:rsid w:val="004B1554"/>
    <w:rsid w:val="004B4802"/>
    <w:rsid w:val="004B4DF1"/>
    <w:rsid w:val="004B560E"/>
    <w:rsid w:val="004B6C8B"/>
    <w:rsid w:val="004B7181"/>
    <w:rsid w:val="004B7E57"/>
    <w:rsid w:val="004C04FA"/>
    <w:rsid w:val="004C4B4D"/>
    <w:rsid w:val="004C7679"/>
    <w:rsid w:val="004C7F04"/>
    <w:rsid w:val="004D04B3"/>
    <w:rsid w:val="004D3A07"/>
    <w:rsid w:val="004D3D26"/>
    <w:rsid w:val="004D4D5C"/>
    <w:rsid w:val="004D4F55"/>
    <w:rsid w:val="004D5FB0"/>
    <w:rsid w:val="004D776E"/>
    <w:rsid w:val="004E024E"/>
    <w:rsid w:val="004E1B1F"/>
    <w:rsid w:val="004E1B33"/>
    <w:rsid w:val="004E1E0A"/>
    <w:rsid w:val="004F0A4F"/>
    <w:rsid w:val="004F0E48"/>
    <w:rsid w:val="004F1762"/>
    <w:rsid w:val="004F212B"/>
    <w:rsid w:val="004F271A"/>
    <w:rsid w:val="004F337C"/>
    <w:rsid w:val="004F483D"/>
    <w:rsid w:val="004F4F91"/>
    <w:rsid w:val="004F6AF6"/>
    <w:rsid w:val="005016F8"/>
    <w:rsid w:val="0050262C"/>
    <w:rsid w:val="00502768"/>
    <w:rsid w:val="00504DA0"/>
    <w:rsid w:val="005050CE"/>
    <w:rsid w:val="005057E5"/>
    <w:rsid w:val="00505E76"/>
    <w:rsid w:val="00507936"/>
    <w:rsid w:val="00511EAF"/>
    <w:rsid w:val="00512D68"/>
    <w:rsid w:val="0051383C"/>
    <w:rsid w:val="0051453D"/>
    <w:rsid w:val="005146EB"/>
    <w:rsid w:val="00514990"/>
    <w:rsid w:val="005150AE"/>
    <w:rsid w:val="005155FB"/>
    <w:rsid w:val="005159BF"/>
    <w:rsid w:val="00515EF6"/>
    <w:rsid w:val="00516C54"/>
    <w:rsid w:val="00517EE8"/>
    <w:rsid w:val="00520AD5"/>
    <w:rsid w:val="00520C68"/>
    <w:rsid w:val="005215E3"/>
    <w:rsid w:val="00522448"/>
    <w:rsid w:val="0052248A"/>
    <w:rsid w:val="00522F17"/>
    <w:rsid w:val="005237B8"/>
    <w:rsid w:val="00523AEF"/>
    <w:rsid w:val="00524992"/>
    <w:rsid w:val="00525053"/>
    <w:rsid w:val="00525A1A"/>
    <w:rsid w:val="00526421"/>
    <w:rsid w:val="005275BF"/>
    <w:rsid w:val="00530AA1"/>
    <w:rsid w:val="00531731"/>
    <w:rsid w:val="00532F08"/>
    <w:rsid w:val="00533BA9"/>
    <w:rsid w:val="00533CB5"/>
    <w:rsid w:val="00534785"/>
    <w:rsid w:val="005359C7"/>
    <w:rsid w:val="00536B0F"/>
    <w:rsid w:val="00536ECE"/>
    <w:rsid w:val="00537C09"/>
    <w:rsid w:val="00537C47"/>
    <w:rsid w:val="00540202"/>
    <w:rsid w:val="005402F5"/>
    <w:rsid w:val="00540B95"/>
    <w:rsid w:val="00541610"/>
    <w:rsid w:val="00541822"/>
    <w:rsid w:val="005418B8"/>
    <w:rsid w:val="00542072"/>
    <w:rsid w:val="00542758"/>
    <w:rsid w:val="00542A5B"/>
    <w:rsid w:val="0054313F"/>
    <w:rsid w:val="005436C8"/>
    <w:rsid w:val="00543811"/>
    <w:rsid w:val="00543A92"/>
    <w:rsid w:val="00546D41"/>
    <w:rsid w:val="00547172"/>
    <w:rsid w:val="00550447"/>
    <w:rsid w:val="00550C61"/>
    <w:rsid w:val="00551015"/>
    <w:rsid w:val="005514A5"/>
    <w:rsid w:val="00552484"/>
    <w:rsid w:val="00552682"/>
    <w:rsid w:val="00552B26"/>
    <w:rsid w:val="00552CA0"/>
    <w:rsid w:val="0055327E"/>
    <w:rsid w:val="0055641B"/>
    <w:rsid w:val="00556CF2"/>
    <w:rsid w:val="00557068"/>
    <w:rsid w:val="0056018D"/>
    <w:rsid w:val="00561701"/>
    <w:rsid w:val="00561CD5"/>
    <w:rsid w:val="00562926"/>
    <w:rsid w:val="00562C69"/>
    <w:rsid w:val="005632BD"/>
    <w:rsid w:val="0056398F"/>
    <w:rsid w:val="0057183F"/>
    <w:rsid w:val="00572484"/>
    <w:rsid w:val="0057252D"/>
    <w:rsid w:val="00572DB2"/>
    <w:rsid w:val="00573FDD"/>
    <w:rsid w:val="005748FC"/>
    <w:rsid w:val="00575026"/>
    <w:rsid w:val="005761DC"/>
    <w:rsid w:val="00581979"/>
    <w:rsid w:val="00582F94"/>
    <w:rsid w:val="00583FEF"/>
    <w:rsid w:val="00585357"/>
    <w:rsid w:val="00585BAB"/>
    <w:rsid w:val="0058663D"/>
    <w:rsid w:val="0058735F"/>
    <w:rsid w:val="00591875"/>
    <w:rsid w:val="00592077"/>
    <w:rsid w:val="00592803"/>
    <w:rsid w:val="00593DAF"/>
    <w:rsid w:val="00594461"/>
    <w:rsid w:val="0059469C"/>
    <w:rsid w:val="00595BC9"/>
    <w:rsid w:val="00595C4E"/>
    <w:rsid w:val="00596B82"/>
    <w:rsid w:val="005A0738"/>
    <w:rsid w:val="005A0E38"/>
    <w:rsid w:val="005A17D3"/>
    <w:rsid w:val="005A2644"/>
    <w:rsid w:val="005A3931"/>
    <w:rsid w:val="005A3F45"/>
    <w:rsid w:val="005A4027"/>
    <w:rsid w:val="005A4379"/>
    <w:rsid w:val="005A4606"/>
    <w:rsid w:val="005A5955"/>
    <w:rsid w:val="005A5A07"/>
    <w:rsid w:val="005A6547"/>
    <w:rsid w:val="005A747E"/>
    <w:rsid w:val="005A75DC"/>
    <w:rsid w:val="005A7D0C"/>
    <w:rsid w:val="005B0051"/>
    <w:rsid w:val="005B0E93"/>
    <w:rsid w:val="005B3524"/>
    <w:rsid w:val="005B375E"/>
    <w:rsid w:val="005B4AEE"/>
    <w:rsid w:val="005B5E1B"/>
    <w:rsid w:val="005B5F16"/>
    <w:rsid w:val="005B6770"/>
    <w:rsid w:val="005B70A3"/>
    <w:rsid w:val="005B78AA"/>
    <w:rsid w:val="005C3010"/>
    <w:rsid w:val="005C342C"/>
    <w:rsid w:val="005C3C90"/>
    <w:rsid w:val="005C4E3C"/>
    <w:rsid w:val="005C5E7B"/>
    <w:rsid w:val="005C6D09"/>
    <w:rsid w:val="005C7CC9"/>
    <w:rsid w:val="005D0601"/>
    <w:rsid w:val="005D1167"/>
    <w:rsid w:val="005D241E"/>
    <w:rsid w:val="005D3918"/>
    <w:rsid w:val="005D406C"/>
    <w:rsid w:val="005D4EC8"/>
    <w:rsid w:val="005D6473"/>
    <w:rsid w:val="005D6862"/>
    <w:rsid w:val="005E0B92"/>
    <w:rsid w:val="005E18DA"/>
    <w:rsid w:val="005E1D5C"/>
    <w:rsid w:val="005E2299"/>
    <w:rsid w:val="005E2812"/>
    <w:rsid w:val="005E2BCB"/>
    <w:rsid w:val="005E2E58"/>
    <w:rsid w:val="005E36BB"/>
    <w:rsid w:val="005E3F9D"/>
    <w:rsid w:val="005E4464"/>
    <w:rsid w:val="005E4C32"/>
    <w:rsid w:val="005E4D21"/>
    <w:rsid w:val="005E5E39"/>
    <w:rsid w:val="005E7852"/>
    <w:rsid w:val="005F12F9"/>
    <w:rsid w:val="005F13EF"/>
    <w:rsid w:val="005F21BC"/>
    <w:rsid w:val="005F2759"/>
    <w:rsid w:val="005F3781"/>
    <w:rsid w:val="005F3C20"/>
    <w:rsid w:val="005F3D05"/>
    <w:rsid w:val="005F43BC"/>
    <w:rsid w:val="005F50F7"/>
    <w:rsid w:val="005F550F"/>
    <w:rsid w:val="005F643D"/>
    <w:rsid w:val="005F7DCF"/>
    <w:rsid w:val="00601561"/>
    <w:rsid w:val="00601C5D"/>
    <w:rsid w:val="00601E50"/>
    <w:rsid w:val="00603AF6"/>
    <w:rsid w:val="0060466E"/>
    <w:rsid w:val="00605A86"/>
    <w:rsid w:val="00605B74"/>
    <w:rsid w:val="0060708B"/>
    <w:rsid w:val="006113FC"/>
    <w:rsid w:val="006119A3"/>
    <w:rsid w:val="00612DC1"/>
    <w:rsid w:val="00613F82"/>
    <w:rsid w:val="00614212"/>
    <w:rsid w:val="006145A3"/>
    <w:rsid w:val="0061464E"/>
    <w:rsid w:val="0061499B"/>
    <w:rsid w:val="00614EE1"/>
    <w:rsid w:val="00615917"/>
    <w:rsid w:val="00616098"/>
    <w:rsid w:val="00616F87"/>
    <w:rsid w:val="0061776A"/>
    <w:rsid w:val="00617F1E"/>
    <w:rsid w:val="00617F52"/>
    <w:rsid w:val="0062072E"/>
    <w:rsid w:val="006221A2"/>
    <w:rsid w:val="00622234"/>
    <w:rsid w:val="006237DB"/>
    <w:rsid w:val="00623B90"/>
    <w:rsid w:val="006252D2"/>
    <w:rsid w:val="00626035"/>
    <w:rsid w:val="0062607A"/>
    <w:rsid w:val="00626D2F"/>
    <w:rsid w:val="00630D24"/>
    <w:rsid w:val="00631CB0"/>
    <w:rsid w:val="00632BD7"/>
    <w:rsid w:val="006343EE"/>
    <w:rsid w:val="00634621"/>
    <w:rsid w:val="00636A36"/>
    <w:rsid w:val="00636E56"/>
    <w:rsid w:val="00637637"/>
    <w:rsid w:val="00637BC8"/>
    <w:rsid w:val="00637FB5"/>
    <w:rsid w:val="0064024F"/>
    <w:rsid w:val="00640508"/>
    <w:rsid w:val="00640BED"/>
    <w:rsid w:val="00641362"/>
    <w:rsid w:val="00642116"/>
    <w:rsid w:val="00645341"/>
    <w:rsid w:val="00645593"/>
    <w:rsid w:val="00646EB7"/>
    <w:rsid w:val="00650376"/>
    <w:rsid w:val="0065081C"/>
    <w:rsid w:val="0065096A"/>
    <w:rsid w:val="00651730"/>
    <w:rsid w:val="00651A4A"/>
    <w:rsid w:val="00652218"/>
    <w:rsid w:val="00652E0D"/>
    <w:rsid w:val="006535FB"/>
    <w:rsid w:val="00656B11"/>
    <w:rsid w:val="00656CB9"/>
    <w:rsid w:val="00657091"/>
    <w:rsid w:val="006573AA"/>
    <w:rsid w:val="00662462"/>
    <w:rsid w:val="006653EB"/>
    <w:rsid w:val="00665C07"/>
    <w:rsid w:val="00670188"/>
    <w:rsid w:val="00670ED5"/>
    <w:rsid w:val="00671CBC"/>
    <w:rsid w:val="00674101"/>
    <w:rsid w:val="00674774"/>
    <w:rsid w:val="0067611F"/>
    <w:rsid w:val="00676D09"/>
    <w:rsid w:val="006770EC"/>
    <w:rsid w:val="0068322B"/>
    <w:rsid w:val="006837DB"/>
    <w:rsid w:val="00683E81"/>
    <w:rsid w:val="00683F7E"/>
    <w:rsid w:val="0068504B"/>
    <w:rsid w:val="00685F12"/>
    <w:rsid w:val="00686EA0"/>
    <w:rsid w:val="00686EF0"/>
    <w:rsid w:val="00690F01"/>
    <w:rsid w:val="00691304"/>
    <w:rsid w:val="0069152B"/>
    <w:rsid w:val="0069214C"/>
    <w:rsid w:val="0069298E"/>
    <w:rsid w:val="00693F43"/>
    <w:rsid w:val="00696557"/>
    <w:rsid w:val="00697CD8"/>
    <w:rsid w:val="006A0288"/>
    <w:rsid w:val="006A1644"/>
    <w:rsid w:val="006A1DCC"/>
    <w:rsid w:val="006A39B7"/>
    <w:rsid w:val="006A413E"/>
    <w:rsid w:val="006A41A1"/>
    <w:rsid w:val="006A4934"/>
    <w:rsid w:val="006A4ED3"/>
    <w:rsid w:val="006A5DFE"/>
    <w:rsid w:val="006A62BD"/>
    <w:rsid w:val="006A6339"/>
    <w:rsid w:val="006A63E9"/>
    <w:rsid w:val="006A744B"/>
    <w:rsid w:val="006B111E"/>
    <w:rsid w:val="006B129F"/>
    <w:rsid w:val="006B2271"/>
    <w:rsid w:val="006B26AB"/>
    <w:rsid w:val="006B31D4"/>
    <w:rsid w:val="006B3936"/>
    <w:rsid w:val="006B4391"/>
    <w:rsid w:val="006B48DC"/>
    <w:rsid w:val="006B4A37"/>
    <w:rsid w:val="006B501E"/>
    <w:rsid w:val="006B5024"/>
    <w:rsid w:val="006B5ABA"/>
    <w:rsid w:val="006B6E1F"/>
    <w:rsid w:val="006B793B"/>
    <w:rsid w:val="006B7EA3"/>
    <w:rsid w:val="006C01D8"/>
    <w:rsid w:val="006C085F"/>
    <w:rsid w:val="006C0972"/>
    <w:rsid w:val="006C18CB"/>
    <w:rsid w:val="006C2008"/>
    <w:rsid w:val="006C2333"/>
    <w:rsid w:val="006C3307"/>
    <w:rsid w:val="006C5EED"/>
    <w:rsid w:val="006C6366"/>
    <w:rsid w:val="006C6A50"/>
    <w:rsid w:val="006C6D77"/>
    <w:rsid w:val="006C77D6"/>
    <w:rsid w:val="006C7B4C"/>
    <w:rsid w:val="006D1706"/>
    <w:rsid w:val="006D1F6C"/>
    <w:rsid w:val="006D2864"/>
    <w:rsid w:val="006D2EA4"/>
    <w:rsid w:val="006D3291"/>
    <w:rsid w:val="006D3A09"/>
    <w:rsid w:val="006D4C49"/>
    <w:rsid w:val="006D4CCD"/>
    <w:rsid w:val="006D580B"/>
    <w:rsid w:val="006D619B"/>
    <w:rsid w:val="006D62CD"/>
    <w:rsid w:val="006D7D48"/>
    <w:rsid w:val="006E059A"/>
    <w:rsid w:val="006E1228"/>
    <w:rsid w:val="006E1232"/>
    <w:rsid w:val="006E1313"/>
    <w:rsid w:val="006E1A26"/>
    <w:rsid w:val="006E2398"/>
    <w:rsid w:val="006E3118"/>
    <w:rsid w:val="006E3492"/>
    <w:rsid w:val="006E387A"/>
    <w:rsid w:val="006E39F5"/>
    <w:rsid w:val="006E43D5"/>
    <w:rsid w:val="006E4DA8"/>
    <w:rsid w:val="006E65FA"/>
    <w:rsid w:val="006E6D03"/>
    <w:rsid w:val="006E70AC"/>
    <w:rsid w:val="006E75FE"/>
    <w:rsid w:val="006F15EB"/>
    <w:rsid w:val="006F2311"/>
    <w:rsid w:val="006F2647"/>
    <w:rsid w:val="006F2F8B"/>
    <w:rsid w:val="006F327A"/>
    <w:rsid w:val="006F34F0"/>
    <w:rsid w:val="006F42A5"/>
    <w:rsid w:val="006F5664"/>
    <w:rsid w:val="006F677A"/>
    <w:rsid w:val="006F707B"/>
    <w:rsid w:val="00700D09"/>
    <w:rsid w:val="00700FEA"/>
    <w:rsid w:val="007038D6"/>
    <w:rsid w:val="00703D95"/>
    <w:rsid w:val="007040E0"/>
    <w:rsid w:val="00704C5D"/>
    <w:rsid w:val="00706478"/>
    <w:rsid w:val="0070699E"/>
    <w:rsid w:val="00710613"/>
    <w:rsid w:val="00713126"/>
    <w:rsid w:val="00713FCD"/>
    <w:rsid w:val="007147A7"/>
    <w:rsid w:val="007165BD"/>
    <w:rsid w:val="0071692A"/>
    <w:rsid w:val="00716B85"/>
    <w:rsid w:val="007201C4"/>
    <w:rsid w:val="007219B5"/>
    <w:rsid w:val="00721CDA"/>
    <w:rsid w:val="007221BC"/>
    <w:rsid w:val="00722A50"/>
    <w:rsid w:val="00723631"/>
    <w:rsid w:val="00723B7C"/>
    <w:rsid w:val="00724C57"/>
    <w:rsid w:val="0072671C"/>
    <w:rsid w:val="00727068"/>
    <w:rsid w:val="00727585"/>
    <w:rsid w:val="00727F1F"/>
    <w:rsid w:val="00727FA3"/>
    <w:rsid w:val="00731380"/>
    <w:rsid w:val="00732DE4"/>
    <w:rsid w:val="007339F2"/>
    <w:rsid w:val="007349DA"/>
    <w:rsid w:val="007356E9"/>
    <w:rsid w:val="007376BA"/>
    <w:rsid w:val="007377AD"/>
    <w:rsid w:val="00742833"/>
    <w:rsid w:val="00744211"/>
    <w:rsid w:val="007444DE"/>
    <w:rsid w:val="0074464A"/>
    <w:rsid w:val="00745EB8"/>
    <w:rsid w:val="0074618E"/>
    <w:rsid w:val="007466FA"/>
    <w:rsid w:val="00751508"/>
    <w:rsid w:val="0075183F"/>
    <w:rsid w:val="007531B2"/>
    <w:rsid w:val="007547FF"/>
    <w:rsid w:val="00754804"/>
    <w:rsid w:val="00754E71"/>
    <w:rsid w:val="00755021"/>
    <w:rsid w:val="007563CF"/>
    <w:rsid w:val="00756E1B"/>
    <w:rsid w:val="00757743"/>
    <w:rsid w:val="007577A7"/>
    <w:rsid w:val="007612FA"/>
    <w:rsid w:val="00762031"/>
    <w:rsid w:val="007644F5"/>
    <w:rsid w:val="00764630"/>
    <w:rsid w:val="00764924"/>
    <w:rsid w:val="00765780"/>
    <w:rsid w:val="00765E49"/>
    <w:rsid w:val="00767A52"/>
    <w:rsid w:val="0077028C"/>
    <w:rsid w:val="00770E4B"/>
    <w:rsid w:val="007721EA"/>
    <w:rsid w:val="00775B32"/>
    <w:rsid w:val="00776684"/>
    <w:rsid w:val="007773CB"/>
    <w:rsid w:val="007827A3"/>
    <w:rsid w:val="00782881"/>
    <w:rsid w:val="00782A3A"/>
    <w:rsid w:val="0078355B"/>
    <w:rsid w:val="00783C9B"/>
    <w:rsid w:val="00784A73"/>
    <w:rsid w:val="00785790"/>
    <w:rsid w:val="00785F6E"/>
    <w:rsid w:val="007860D8"/>
    <w:rsid w:val="00786321"/>
    <w:rsid w:val="007872B9"/>
    <w:rsid w:val="00787A4F"/>
    <w:rsid w:val="00790B89"/>
    <w:rsid w:val="0079143E"/>
    <w:rsid w:val="00791A89"/>
    <w:rsid w:val="00794876"/>
    <w:rsid w:val="00795EF8"/>
    <w:rsid w:val="00796129"/>
    <w:rsid w:val="00796C5C"/>
    <w:rsid w:val="00796F8D"/>
    <w:rsid w:val="00797537"/>
    <w:rsid w:val="007A15ED"/>
    <w:rsid w:val="007A1A3D"/>
    <w:rsid w:val="007A255A"/>
    <w:rsid w:val="007A461D"/>
    <w:rsid w:val="007A4C65"/>
    <w:rsid w:val="007A4E30"/>
    <w:rsid w:val="007A53E8"/>
    <w:rsid w:val="007A5720"/>
    <w:rsid w:val="007A5935"/>
    <w:rsid w:val="007A65F1"/>
    <w:rsid w:val="007A732B"/>
    <w:rsid w:val="007A7AF1"/>
    <w:rsid w:val="007B0978"/>
    <w:rsid w:val="007B1348"/>
    <w:rsid w:val="007B155A"/>
    <w:rsid w:val="007B19F4"/>
    <w:rsid w:val="007B1D4B"/>
    <w:rsid w:val="007B20ED"/>
    <w:rsid w:val="007B2726"/>
    <w:rsid w:val="007B2732"/>
    <w:rsid w:val="007B28DB"/>
    <w:rsid w:val="007B3F1D"/>
    <w:rsid w:val="007B4DFB"/>
    <w:rsid w:val="007B688C"/>
    <w:rsid w:val="007B772C"/>
    <w:rsid w:val="007B7958"/>
    <w:rsid w:val="007C002F"/>
    <w:rsid w:val="007C07A8"/>
    <w:rsid w:val="007C07FE"/>
    <w:rsid w:val="007C1BB6"/>
    <w:rsid w:val="007C2A8E"/>
    <w:rsid w:val="007C3B36"/>
    <w:rsid w:val="007C4442"/>
    <w:rsid w:val="007C44F4"/>
    <w:rsid w:val="007C46F5"/>
    <w:rsid w:val="007C4DCC"/>
    <w:rsid w:val="007C5011"/>
    <w:rsid w:val="007C55BF"/>
    <w:rsid w:val="007C6099"/>
    <w:rsid w:val="007C65B0"/>
    <w:rsid w:val="007C6AE6"/>
    <w:rsid w:val="007C7669"/>
    <w:rsid w:val="007C7C52"/>
    <w:rsid w:val="007D24A0"/>
    <w:rsid w:val="007D2656"/>
    <w:rsid w:val="007D2BB3"/>
    <w:rsid w:val="007D362F"/>
    <w:rsid w:val="007D3ABF"/>
    <w:rsid w:val="007D5D77"/>
    <w:rsid w:val="007D6EAB"/>
    <w:rsid w:val="007E01FF"/>
    <w:rsid w:val="007E21FE"/>
    <w:rsid w:val="007E501A"/>
    <w:rsid w:val="007E5E3B"/>
    <w:rsid w:val="007E6FCE"/>
    <w:rsid w:val="007E7311"/>
    <w:rsid w:val="007E766C"/>
    <w:rsid w:val="007F0EBB"/>
    <w:rsid w:val="007F143B"/>
    <w:rsid w:val="007F15B6"/>
    <w:rsid w:val="007F1E37"/>
    <w:rsid w:val="007F26EA"/>
    <w:rsid w:val="007F7024"/>
    <w:rsid w:val="007F7098"/>
    <w:rsid w:val="007F7344"/>
    <w:rsid w:val="007F77EF"/>
    <w:rsid w:val="008008D2"/>
    <w:rsid w:val="008016CB"/>
    <w:rsid w:val="00802DB4"/>
    <w:rsid w:val="00803563"/>
    <w:rsid w:val="0080703B"/>
    <w:rsid w:val="00807E01"/>
    <w:rsid w:val="00810218"/>
    <w:rsid w:val="0081177A"/>
    <w:rsid w:val="00811B40"/>
    <w:rsid w:val="00811D18"/>
    <w:rsid w:val="008122B7"/>
    <w:rsid w:val="008125D6"/>
    <w:rsid w:val="00812A88"/>
    <w:rsid w:val="00813C6F"/>
    <w:rsid w:val="008142ED"/>
    <w:rsid w:val="008152F1"/>
    <w:rsid w:val="0081597F"/>
    <w:rsid w:val="00815A45"/>
    <w:rsid w:val="008168E3"/>
    <w:rsid w:val="00816EBF"/>
    <w:rsid w:val="0081740F"/>
    <w:rsid w:val="00820F4F"/>
    <w:rsid w:val="00821068"/>
    <w:rsid w:val="008210B9"/>
    <w:rsid w:val="00821CB9"/>
    <w:rsid w:val="008226AC"/>
    <w:rsid w:val="008230E9"/>
    <w:rsid w:val="00824F35"/>
    <w:rsid w:val="00824F9E"/>
    <w:rsid w:val="008252FD"/>
    <w:rsid w:val="0082596E"/>
    <w:rsid w:val="008259A4"/>
    <w:rsid w:val="008334ED"/>
    <w:rsid w:val="008355CB"/>
    <w:rsid w:val="008359F7"/>
    <w:rsid w:val="00836AA2"/>
    <w:rsid w:val="00836CB0"/>
    <w:rsid w:val="0083714F"/>
    <w:rsid w:val="008377C6"/>
    <w:rsid w:val="00837F3B"/>
    <w:rsid w:val="00841790"/>
    <w:rsid w:val="008419F5"/>
    <w:rsid w:val="00842214"/>
    <w:rsid w:val="0084476A"/>
    <w:rsid w:val="00846408"/>
    <w:rsid w:val="00847A5E"/>
    <w:rsid w:val="00852324"/>
    <w:rsid w:val="00852E0E"/>
    <w:rsid w:val="00854276"/>
    <w:rsid w:val="008542CC"/>
    <w:rsid w:val="008548A5"/>
    <w:rsid w:val="00856EE4"/>
    <w:rsid w:val="00857FE8"/>
    <w:rsid w:val="008612CA"/>
    <w:rsid w:val="00861571"/>
    <w:rsid w:val="00861D56"/>
    <w:rsid w:val="00862057"/>
    <w:rsid w:val="00862BC1"/>
    <w:rsid w:val="00862D27"/>
    <w:rsid w:val="008673E6"/>
    <w:rsid w:val="00871018"/>
    <w:rsid w:val="008710CD"/>
    <w:rsid w:val="00871BC8"/>
    <w:rsid w:val="00872D05"/>
    <w:rsid w:val="008734E2"/>
    <w:rsid w:val="00874384"/>
    <w:rsid w:val="0087552D"/>
    <w:rsid w:val="00880974"/>
    <w:rsid w:val="0088144E"/>
    <w:rsid w:val="0088226C"/>
    <w:rsid w:val="008835D6"/>
    <w:rsid w:val="008854EF"/>
    <w:rsid w:val="008857FE"/>
    <w:rsid w:val="00885900"/>
    <w:rsid w:val="0088661C"/>
    <w:rsid w:val="00886750"/>
    <w:rsid w:val="00887089"/>
    <w:rsid w:val="00890991"/>
    <w:rsid w:val="00892627"/>
    <w:rsid w:val="00894748"/>
    <w:rsid w:val="00896688"/>
    <w:rsid w:val="008968E2"/>
    <w:rsid w:val="00897C18"/>
    <w:rsid w:val="00897DE9"/>
    <w:rsid w:val="008A0FE8"/>
    <w:rsid w:val="008A1C33"/>
    <w:rsid w:val="008A2F0D"/>
    <w:rsid w:val="008A3E18"/>
    <w:rsid w:val="008A3FE1"/>
    <w:rsid w:val="008A447A"/>
    <w:rsid w:val="008A46C4"/>
    <w:rsid w:val="008A55F2"/>
    <w:rsid w:val="008A5939"/>
    <w:rsid w:val="008A5977"/>
    <w:rsid w:val="008A59CD"/>
    <w:rsid w:val="008A650E"/>
    <w:rsid w:val="008A69C9"/>
    <w:rsid w:val="008A72D5"/>
    <w:rsid w:val="008A735B"/>
    <w:rsid w:val="008B262B"/>
    <w:rsid w:val="008B45D4"/>
    <w:rsid w:val="008B51BC"/>
    <w:rsid w:val="008B6679"/>
    <w:rsid w:val="008B6FA5"/>
    <w:rsid w:val="008C1B08"/>
    <w:rsid w:val="008C1D05"/>
    <w:rsid w:val="008C2448"/>
    <w:rsid w:val="008C2972"/>
    <w:rsid w:val="008C2D27"/>
    <w:rsid w:val="008C53AC"/>
    <w:rsid w:val="008C5C4B"/>
    <w:rsid w:val="008C69E5"/>
    <w:rsid w:val="008D00E5"/>
    <w:rsid w:val="008D0383"/>
    <w:rsid w:val="008D136E"/>
    <w:rsid w:val="008D1FC5"/>
    <w:rsid w:val="008D2374"/>
    <w:rsid w:val="008D2B47"/>
    <w:rsid w:val="008D3988"/>
    <w:rsid w:val="008D4FD2"/>
    <w:rsid w:val="008D6967"/>
    <w:rsid w:val="008D6F61"/>
    <w:rsid w:val="008D7853"/>
    <w:rsid w:val="008E0466"/>
    <w:rsid w:val="008E0A20"/>
    <w:rsid w:val="008E3EC5"/>
    <w:rsid w:val="008E4AEA"/>
    <w:rsid w:val="008E4B48"/>
    <w:rsid w:val="008E74EA"/>
    <w:rsid w:val="008E77A7"/>
    <w:rsid w:val="008F1D4A"/>
    <w:rsid w:val="008F31C4"/>
    <w:rsid w:val="008F37CE"/>
    <w:rsid w:val="008F3BF0"/>
    <w:rsid w:val="008F4342"/>
    <w:rsid w:val="008F4894"/>
    <w:rsid w:val="008F4C45"/>
    <w:rsid w:val="008F5FED"/>
    <w:rsid w:val="008F6C34"/>
    <w:rsid w:val="008F7278"/>
    <w:rsid w:val="008F7417"/>
    <w:rsid w:val="009026AE"/>
    <w:rsid w:val="00903C22"/>
    <w:rsid w:val="0090406D"/>
    <w:rsid w:val="009053AC"/>
    <w:rsid w:val="00905EBA"/>
    <w:rsid w:val="00906EAE"/>
    <w:rsid w:val="00910E86"/>
    <w:rsid w:val="009113DB"/>
    <w:rsid w:val="009116A4"/>
    <w:rsid w:val="0091329F"/>
    <w:rsid w:val="00913893"/>
    <w:rsid w:val="0091564D"/>
    <w:rsid w:val="009169BA"/>
    <w:rsid w:val="00920A1F"/>
    <w:rsid w:val="00920C27"/>
    <w:rsid w:val="009222AE"/>
    <w:rsid w:val="00922785"/>
    <w:rsid w:val="00923C88"/>
    <w:rsid w:val="00924652"/>
    <w:rsid w:val="00925B93"/>
    <w:rsid w:val="00925E8F"/>
    <w:rsid w:val="00926ADD"/>
    <w:rsid w:val="009273F7"/>
    <w:rsid w:val="00927742"/>
    <w:rsid w:val="00927D8C"/>
    <w:rsid w:val="00930A45"/>
    <w:rsid w:val="0093176C"/>
    <w:rsid w:val="0093263B"/>
    <w:rsid w:val="00932718"/>
    <w:rsid w:val="00932C3A"/>
    <w:rsid w:val="009337BA"/>
    <w:rsid w:val="0093452B"/>
    <w:rsid w:val="00934D41"/>
    <w:rsid w:val="0093556C"/>
    <w:rsid w:val="009362C1"/>
    <w:rsid w:val="00937287"/>
    <w:rsid w:val="00940AE8"/>
    <w:rsid w:val="009419BA"/>
    <w:rsid w:val="00941DD9"/>
    <w:rsid w:val="00941FAA"/>
    <w:rsid w:val="00942001"/>
    <w:rsid w:val="00942C3E"/>
    <w:rsid w:val="009436FD"/>
    <w:rsid w:val="009437B2"/>
    <w:rsid w:val="0094498D"/>
    <w:rsid w:val="00944AE4"/>
    <w:rsid w:val="00945A81"/>
    <w:rsid w:val="0094661F"/>
    <w:rsid w:val="009467C3"/>
    <w:rsid w:val="00947446"/>
    <w:rsid w:val="009501EE"/>
    <w:rsid w:val="00951037"/>
    <w:rsid w:val="00951101"/>
    <w:rsid w:val="009526C2"/>
    <w:rsid w:val="0095299F"/>
    <w:rsid w:val="009534E3"/>
    <w:rsid w:val="00953826"/>
    <w:rsid w:val="00954789"/>
    <w:rsid w:val="0095481F"/>
    <w:rsid w:val="00954B23"/>
    <w:rsid w:val="00955021"/>
    <w:rsid w:val="0095577E"/>
    <w:rsid w:val="00955EEA"/>
    <w:rsid w:val="00961501"/>
    <w:rsid w:val="009615EA"/>
    <w:rsid w:val="00961EA6"/>
    <w:rsid w:val="00962090"/>
    <w:rsid w:val="00963ED4"/>
    <w:rsid w:val="00964DB8"/>
    <w:rsid w:val="00967392"/>
    <w:rsid w:val="00967F00"/>
    <w:rsid w:val="0097016A"/>
    <w:rsid w:val="00974859"/>
    <w:rsid w:val="00974F70"/>
    <w:rsid w:val="00975092"/>
    <w:rsid w:val="00975633"/>
    <w:rsid w:val="00977CEF"/>
    <w:rsid w:val="00980A2C"/>
    <w:rsid w:val="00981412"/>
    <w:rsid w:val="009816E3"/>
    <w:rsid w:val="00981AF8"/>
    <w:rsid w:val="0098566C"/>
    <w:rsid w:val="00985D0E"/>
    <w:rsid w:val="00985D3A"/>
    <w:rsid w:val="00985FFC"/>
    <w:rsid w:val="009868E7"/>
    <w:rsid w:val="009873E9"/>
    <w:rsid w:val="009908C2"/>
    <w:rsid w:val="00991AB9"/>
    <w:rsid w:val="00991BF9"/>
    <w:rsid w:val="0099291E"/>
    <w:rsid w:val="00992977"/>
    <w:rsid w:val="00993356"/>
    <w:rsid w:val="00993B9C"/>
    <w:rsid w:val="00996070"/>
    <w:rsid w:val="009973CD"/>
    <w:rsid w:val="00997F2C"/>
    <w:rsid w:val="009A0D68"/>
    <w:rsid w:val="009A0E00"/>
    <w:rsid w:val="009A1E78"/>
    <w:rsid w:val="009A27BC"/>
    <w:rsid w:val="009A27F0"/>
    <w:rsid w:val="009A3472"/>
    <w:rsid w:val="009A51C2"/>
    <w:rsid w:val="009A6C28"/>
    <w:rsid w:val="009A727E"/>
    <w:rsid w:val="009A7692"/>
    <w:rsid w:val="009B1365"/>
    <w:rsid w:val="009B1872"/>
    <w:rsid w:val="009B18DA"/>
    <w:rsid w:val="009B1B7D"/>
    <w:rsid w:val="009B3256"/>
    <w:rsid w:val="009B3365"/>
    <w:rsid w:val="009B3DBE"/>
    <w:rsid w:val="009B465C"/>
    <w:rsid w:val="009B54AC"/>
    <w:rsid w:val="009B66C8"/>
    <w:rsid w:val="009B7C0C"/>
    <w:rsid w:val="009C0E77"/>
    <w:rsid w:val="009C1DCE"/>
    <w:rsid w:val="009C2E4C"/>
    <w:rsid w:val="009C2E4E"/>
    <w:rsid w:val="009C3805"/>
    <w:rsid w:val="009C555F"/>
    <w:rsid w:val="009C58BD"/>
    <w:rsid w:val="009C5A9D"/>
    <w:rsid w:val="009C5F1F"/>
    <w:rsid w:val="009C7519"/>
    <w:rsid w:val="009D0310"/>
    <w:rsid w:val="009D0432"/>
    <w:rsid w:val="009D05FA"/>
    <w:rsid w:val="009D0AFE"/>
    <w:rsid w:val="009D12CA"/>
    <w:rsid w:val="009D26C5"/>
    <w:rsid w:val="009D2B10"/>
    <w:rsid w:val="009D4507"/>
    <w:rsid w:val="009D4C56"/>
    <w:rsid w:val="009D548F"/>
    <w:rsid w:val="009D5F28"/>
    <w:rsid w:val="009D60DD"/>
    <w:rsid w:val="009D7962"/>
    <w:rsid w:val="009D7D67"/>
    <w:rsid w:val="009E1B7D"/>
    <w:rsid w:val="009E284C"/>
    <w:rsid w:val="009E353C"/>
    <w:rsid w:val="009E4E50"/>
    <w:rsid w:val="009E5A8B"/>
    <w:rsid w:val="009E6093"/>
    <w:rsid w:val="009E651F"/>
    <w:rsid w:val="009E6875"/>
    <w:rsid w:val="009E6BCA"/>
    <w:rsid w:val="009E74F0"/>
    <w:rsid w:val="009F040F"/>
    <w:rsid w:val="009F0813"/>
    <w:rsid w:val="009F09C2"/>
    <w:rsid w:val="009F18A0"/>
    <w:rsid w:val="009F1B3B"/>
    <w:rsid w:val="009F1E4F"/>
    <w:rsid w:val="009F258F"/>
    <w:rsid w:val="009F2D18"/>
    <w:rsid w:val="009F3E7A"/>
    <w:rsid w:val="009F554F"/>
    <w:rsid w:val="009F5DC7"/>
    <w:rsid w:val="009F6969"/>
    <w:rsid w:val="009F69B5"/>
    <w:rsid w:val="009F6A06"/>
    <w:rsid w:val="009F72C0"/>
    <w:rsid w:val="009F73AB"/>
    <w:rsid w:val="009F78F2"/>
    <w:rsid w:val="00A0124E"/>
    <w:rsid w:val="00A02A20"/>
    <w:rsid w:val="00A02C11"/>
    <w:rsid w:val="00A03BD2"/>
    <w:rsid w:val="00A03D34"/>
    <w:rsid w:val="00A03DE4"/>
    <w:rsid w:val="00A04FB3"/>
    <w:rsid w:val="00A05BD7"/>
    <w:rsid w:val="00A0685F"/>
    <w:rsid w:val="00A06E56"/>
    <w:rsid w:val="00A0757E"/>
    <w:rsid w:val="00A07A91"/>
    <w:rsid w:val="00A10687"/>
    <w:rsid w:val="00A13206"/>
    <w:rsid w:val="00A1431D"/>
    <w:rsid w:val="00A14622"/>
    <w:rsid w:val="00A15ACC"/>
    <w:rsid w:val="00A15FB4"/>
    <w:rsid w:val="00A16417"/>
    <w:rsid w:val="00A20492"/>
    <w:rsid w:val="00A21383"/>
    <w:rsid w:val="00A220E6"/>
    <w:rsid w:val="00A22121"/>
    <w:rsid w:val="00A231E5"/>
    <w:rsid w:val="00A236F9"/>
    <w:rsid w:val="00A23C47"/>
    <w:rsid w:val="00A24F11"/>
    <w:rsid w:val="00A25FDA"/>
    <w:rsid w:val="00A260D4"/>
    <w:rsid w:val="00A26BF9"/>
    <w:rsid w:val="00A26CD1"/>
    <w:rsid w:val="00A27144"/>
    <w:rsid w:val="00A275DC"/>
    <w:rsid w:val="00A30328"/>
    <w:rsid w:val="00A31A4F"/>
    <w:rsid w:val="00A31BC9"/>
    <w:rsid w:val="00A332DB"/>
    <w:rsid w:val="00A33DBD"/>
    <w:rsid w:val="00A3407B"/>
    <w:rsid w:val="00A36D5D"/>
    <w:rsid w:val="00A370A3"/>
    <w:rsid w:val="00A40206"/>
    <w:rsid w:val="00A41155"/>
    <w:rsid w:val="00A438B3"/>
    <w:rsid w:val="00A44035"/>
    <w:rsid w:val="00A44422"/>
    <w:rsid w:val="00A4458E"/>
    <w:rsid w:val="00A45E50"/>
    <w:rsid w:val="00A46F56"/>
    <w:rsid w:val="00A50C45"/>
    <w:rsid w:val="00A51C2B"/>
    <w:rsid w:val="00A51DCE"/>
    <w:rsid w:val="00A51F1D"/>
    <w:rsid w:val="00A53249"/>
    <w:rsid w:val="00A53C5C"/>
    <w:rsid w:val="00A54A71"/>
    <w:rsid w:val="00A54DAA"/>
    <w:rsid w:val="00A55F52"/>
    <w:rsid w:val="00A56DAD"/>
    <w:rsid w:val="00A57284"/>
    <w:rsid w:val="00A6022D"/>
    <w:rsid w:val="00A60968"/>
    <w:rsid w:val="00A6219B"/>
    <w:rsid w:val="00A62DF5"/>
    <w:rsid w:val="00A6320F"/>
    <w:rsid w:val="00A63AF2"/>
    <w:rsid w:val="00A64758"/>
    <w:rsid w:val="00A6564E"/>
    <w:rsid w:val="00A65CA5"/>
    <w:rsid w:val="00A65DA1"/>
    <w:rsid w:val="00A6646D"/>
    <w:rsid w:val="00A664F4"/>
    <w:rsid w:val="00A66C0A"/>
    <w:rsid w:val="00A672F6"/>
    <w:rsid w:val="00A674A0"/>
    <w:rsid w:val="00A7005F"/>
    <w:rsid w:val="00A70BD8"/>
    <w:rsid w:val="00A7230B"/>
    <w:rsid w:val="00A7331F"/>
    <w:rsid w:val="00A73BB2"/>
    <w:rsid w:val="00A75032"/>
    <w:rsid w:val="00A765E4"/>
    <w:rsid w:val="00A77903"/>
    <w:rsid w:val="00A8087A"/>
    <w:rsid w:val="00A80A21"/>
    <w:rsid w:val="00A82192"/>
    <w:rsid w:val="00A83D53"/>
    <w:rsid w:val="00A857D8"/>
    <w:rsid w:val="00A86B10"/>
    <w:rsid w:val="00A878E5"/>
    <w:rsid w:val="00A90C72"/>
    <w:rsid w:val="00A9121B"/>
    <w:rsid w:val="00A91250"/>
    <w:rsid w:val="00A914D9"/>
    <w:rsid w:val="00A917CE"/>
    <w:rsid w:val="00A924E3"/>
    <w:rsid w:val="00A92EEB"/>
    <w:rsid w:val="00A93111"/>
    <w:rsid w:val="00A9378F"/>
    <w:rsid w:val="00A947E0"/>
    <w:rsid w:val="00A9523C"/>
    <w:rsid w:val="00A95430"/>
    <w:rsid w:val="00A95B85"/>
    <w:rsid w:val="00A965F5"/>
    <w:rsid w:val="00A967FF"/>
    <w:rsid w:val="00A96EE1"/>
    <w:rsid w:val="00AA299F"/>
    <w:rsid w:val="00AA389E"/>
    <w:rsid w:val="00AA465B"/>
    <w:rsid w:val="00AA5038"/>
    <w:rsid w:val="00AA5D78"/>
    <w:rsid w:val="00AA7877"/>
    <w:rsid w:val="00AA7F3B"/>
    <w:rsid w:val="00AB1757"/>
    <w:rsid w:val="00AB1BC5"/>
    <w:rsid w:val="00AB386C"/>
    <w:rsid w:val="00AB3EA7"/>
    <w:rsid w:val="00AB5385"/>
    <w:rsid w:val="00AB5B59"/>
    <w:rsid w:val="00AB63C9"/>
    <w:rsid w:val="00AB7BCC"/>
    <w:rsid w:val="00AB7DAC"/>
    <w:rsid w:val="00AC02E2"/>
    <w:rsid w:val="00AC0EDD"/>
    <w:rsid w:val="00AC3589"/>
    <w:rsid w:val="00AC3BD6"/>
    <w:rsid w:val="00AC538B"/>
    <w:rsid w:val="00AC5E67"/>
    <w:rsid w:val="00AD0CB0"/>
    <w:rsid w:val="00AD1131"/>
    <w:rsid w:val="00AD4CA1"/>
    <w:rsid w:val="00AD4D41"/>
    <w:rsid w:val="00AD516F"/>
    <w:rsid w:val="00AD5E4E"/>
    <w:rsid w:val="00AD7942"/>
    <w:rsid w:val="00AD7C3A"/>
    <w:rsid w:val="00AE00A8"/>
    <w:rsid w:val="00AE06E4"/>
    <w:rsid w:val="00AE09E4"/>
    <w:rsid w:val="00AE0DD9"/>
    <w:rsid w:val="00AE1D0D"/>
    <w:rsid w:val="00AE2F94"/>
    <w:rsid w:val="00AE30CB"/>
    <w:rsid w:val="00AE3E7B"/>
    <w:rsid w:val="00AE451A"/>
    <w:rsid w:val="00AE789D"/>
    <w:rsid w:val="00AE7D59"/>
    <w:rsid w:val="00AF1685"/>
    <w:rsid w:val="00AF21AB"/>
    <w:rsid w:val="00AF280D"/>
    <w:rsid w:val="00AF39F4"/>
    <w:rsid w:val="00AF3ABE"/>
    <w:rsid w:val="00AF4D5D"/>
    <w:rsid w:val="00AF5525"/>
    <w:rsid w:val="00AF58E7"/>
    <w:rsid w:val="00AF5F92"/>
    <w:rsid w:val="00AF6499"/>
    <w:rsid w:val="00AF66E6"/>
    <w:rsid w:val="00AF6B5D"/>
    <w:rsid w:val="00AF7797"/>
    <w:rsid w:val="00B01283"/>
    <w:rsid w:val="00B0259E"/>
    <w:rsid w:val="00B03CFC"/>
    <w:rsid w:val="00B0447A"/>
    <w:rsid w:val="00B0665E"/>
    <w:rsid w:val="00B07071"/>
    <w:rsid w:val="00B12CED"/>
    <w:rsid w:val="00B137F0"/>
    <w:rsid w:val="00B13CE2"/>
    <w:rsid w:val="00B14D7B"/>
    <w:rsid w:val="00B15372"/>
    <w:rsid w:val="00B159F0"/>
    <w:rsid w:val="00B15BBF"/>
    <w:rsid w:val="00B16192"/>
    <w:rsid w:val="00B173B8"/>
    <w:rsid w:val="00B20D00"/>
    <w:rsid w:val="00B20FC7"/>
    <w:rsid w:val="00B21953"/>
    <w:rsid w:val="00B219E0"/>
    <w:rsid w:val="00B225B4"/>
    <w:rsid w:val="00B235E3"/>
    <w:rsid w:val="00B245DE"/>
    <w:rsid w:val="00B25031"/>
    <w:rsid w:val="00B2505F"/>
    <w:rsid w:val="00B25813"/>
    <w:rsid w:val="00B26DB4"/>
    <w:rsid w:val="00B30216"/>
    <w:rsid w:val="00B302E1"/>
    <w:rsid w:val="00B30754"/>
    <w:rsid w:val="00B30A0D"/>
    <w:rsid w:val="00B3150D"/>
    <w:rsid w:val="00B31F05"/>
    <w:rsid w:val="00B32C41"/>
    <w:rsid w:val="00B33CFE"/>
    <w:rsid w:val="00B3418A"/>
    <w:rsid w:val="00B34954"/>
    <w:rsid w:val="00B35B21"/>
    <w:rsid w:val="00B36D58"/>
    <w:rsid w:val="00B371AF"/>
    <w:rsid w:val="00B37B83"/>
    <w:rsid w:val="00B415F6"/>
    <w:rsid w:val="00B41B39"/>
    <w:rsid w:val="00B42441"/>
    <w:rsid w:val="00B450BD"/>
    <w:rsid w:val="00B45C27"/>
    <w:rsid w:val="00B51AB0"/>
    <w:rsid w:val="00B528E7"/>
    <w:rsid w:val="00B53628"/>
    <w:rsid w:val="00B536BA"/>
    <w:rsid w:val="00B54EF8"/>
    <w:rsid w:val="00B55CB0"/>
    <w:rsid w:val="00B566E5"/>
    <w:rsid w:val="00B577FD"/>
    <w:rsid w:val="00B57A75"/>
    <w:rsid w:val="00B60581"/>
    <w:rsid w:val="00B621A3"/>
    <w:rsid w:val="00B62CA5"/>
    <w:rsid w:val="00B63221"/>
    <w:rsid w:val="00B6329A"/>
    <w:rsid w:val="00B64CCA"/>
    <w:rsid w:val="00B66B65"/>
    <w:rsid w:val="00B674D3"/>
    <w:rsid w:val="00B67713"/>
    <w:rsid w:val="00B70339"/>
    <w:rsid w:val="00B7146C"/>
    <w:rsid w:val="00B725C3"/>
    <w:rsid w:val="00B72D4B"/>
    <w:rsid w:val="00B7336A"/>
    <w:rsid w:val="00B73A8F"/>
    <w:rsid w:val="00B73FF0"/>
    <w:rsid w:val="00B7517C"/>
    <w:rsid w:val="00B762CA"/>
    <w:rsid w:val="00B765D6"/>
    <w:rsid w:val="00B76965"/>
    <w:rsid w:val="00B7699A"/>
    <w:rsid w:val="00B77A29"/>
    <w:rsid w:val="00B82338"/>
    <w:rsid w:val="00B83049"/>
    <w:rsid w:val="00B833CC"/>
    <w:rsid w:val="00B84571"/>
    <w:rsid w:val="00B85144"/>
    <w:rsid w:val="00B853F5"/>
    <w:rsid w:val="00B86D59"/>
    <w:rsid w:val="00B919B5"/>
    <w:rsid w:val="00B92833"/>
    <w:rsid w:val="00B92D3E"/>
    <w:rsid w:val="00B93F7E"/>
    <w:rsid w:val="00B9424C"/>
    <w:rsid w:val="00B94456"/>
    <w:rsid w:val="00B9675B"/>
    <w:rsid w:val="00B977B8"/>
    <w:rsid w:val="00BA0471"/>
    <w:rsid w:val="00BA0BC2"/>
    <w:rsid w:val="00BA0C2D"/>
    <w:rsid w:val="00BA0C40"/>
    <w:rsid w:val="00BA10DA"/>
    <w:rsid w:val="00BA3DA2"/>
    <w:rsid w:val="00BA54C2"/>
    <w:rsid w:val="00BA62A8"/>
    <w:rsid w:val="00BB04FD"/>
    <w:rsid w:val="00BB188F"/>
    <w:rsid w:val="00BB1FC3"/>
    <w:rsid w:val="00BB26EE"/>
    <w:rsid w:val="00BB2967"/>
    <w:rsid w:val="00BB37B0"/>
    <w:rsid w:val="00BB473E"/>
    <w:rsid w:val="00BB5810"/>
    <w:rsid w:val="00BB6165"/>
    <w:rsid w:val="00BB6169"/>
    <w:rsid w:val="00BB78FA"/>
    <w:rsid w:val="00BC0565"/>
    <w:rsid w:val="00BC20A8"/>
    <w:rsid w:val="00BC4DAB"/>
    <w:rsid w:val="00BC5599"/>
    <w:rsid w:val="00BC67F5"/>
    <w:rsid w:val="00BC6AB0"/>
    <w:rsid w:val="00BC7865"/>
    <w:rsid w:val="00BD0A49"/>
    <w:rsid w:val="00BD2549"/>
    <w:rsid w:val="00BD2D15"/>
    <w:rsid w:val="00BD3224"/>
    <w:rsid w:val="00BD45EA"/>
    <w:rsid w:val="00BD518E"/>
    <w:rsid w:val="00BD5E5E"/>
    <w:rsid w:val="00BD607E"/>
    <w:rsid w:val="00BD6D75"/>
    <w:rsid w:val="00BD7A72"/>
    <w:rsid w:val="00BE057C"/>
    <w:rsid w:val="00BE0588"/>
    <w:rsid w:val="00BE1585"/>
    <w:rsid w:val="00BE2701"/>
    <w:rsid w:val="00BE31A2"/>
    <w:rsid w:val="00BE3B4C"/>
    <w:rsid w:val="00BE3EAD"/>
    <w:rsid w:val="00BE4914"/>
    <w:rsid w:val="00BE4F32"/>
    <w:rsid w:val="00BE4FD9"/>
    <w:rsid w:val="00BE4FE9"/>
    <w:rsid w:val="00BE54BC"/>
    <w:rsid w:val="00BE77FF"/>
    <w:rsid w:val="00BE7CB3"/>
    <w:rsid w:val="00BF0776"/>
    <w:rsid w:val="00BF1295"/>
    <w:rsid w:val="00BF1686"/>
    <w:rsid w:val="00BF2327"/>
    <w:rsid w:val="00BF2B19"/>
    <w:rsid w:val="00BF3655"/>
    <w:rsid w:val="00BF37EE"/>
    <w:rsid w:val="00BF3B1B"/>
    <w:rsid w:val="00BF53BC"/>
    <w:rsid w:val="00BF6DFD"/>
    <w:rsid w:val="00C0130C"/>
    <w:rsid w:val="00C01CC6"/>
    <w:rsid w:val="00C02A2C"/>
    <w:rsid w:val="00C039B8"/>
    <w:rsid w:val="00C04083"/>
    <w:rsid w:val="00C04BB4"/>
    <w:rsid w:val="00C05745"/>
    <w:rsid w:val="00C067E5"/>
    <w:rsid w:val="00C076FE"/>
    <w:rsid w:val="00C07DCC"/>
    <w:rsid w:val="00C1017C"/>
    <w:rsid w:val="00C10287"/>
    <w:rsid w:val="00C111C0"/>
    <w:rsid w:val="00C11882"/>
    <w:rsid w:val="00C12367"/>
    <w:rsid w:val="00C12638"/>
    <w:rsid w:val="00C1374D"/>
    <w:rsid w:val="00C1487A"/>
    <w:rsid w:val="00C1522B"/>
    <w:rsid w:val="00C17F49"/>
    <w:rsid w:val="00C20581"/>
    <w:rsid w:val="00C20D52"/>
    <w:rsid w:val="00C211FC"/>
    <w:rsid w:val="00C215C0"/>
    <w:rsid w:val="00C21775"/>
    <w:rsid w:val="00C22FCD"/>
    <w:rsid w:val="00C25004"/>
    <w:rsid w:val="00C25A9E"/>
    <w:rsid w:val="00C26D8A"/>
    <w:rsid w:val="00C27258"/>
    <w:rsid w:val="00C3248B"/>
    <w:rsid w:val="00C330A8"/>
    <w:rsid w:val="00C33B14"/>
    <w:rsid w:val="00C34412"/>
    <w:rsid w:val="00C346AB"/>
    <w:rsid w:val="00C34EDA"/>
    <w:rsid w:val="00C36E4B"/>
    <w:rsid w:val="00C373C7"/>
    <w:rsid w:val="00C3786D"/>
    <w:rsid w:val="00C40515"/>
    <w:rsid w:val="00C408B6"/>
    <w:rsid w:val="00C42057"/>
    <w:rsid w:val="00C44012"/>
    <w:rsid w:val="00C44207"/>
    <w:rsid w:val="00C445E1"/>
    <w:rsid w:val="00C459BE"/>
    <w:rsid w:val="00C45EF1"/>
    <w:rsid w:val="00C4662F"/>
    <w:rsid w:val="00C46745"/>
    <w:rsid w:val="00C47303"/>
    <w:rsid w:val="00C47EA0"/>
    <w:rsid w:val="00C500C4"/>
    <w:rsid w:val="00C509B5"/>
    <w:rsid w:val="00C542C1"/>
    <w:rsid w:val="00C55D59"/>
    <w:rsid w:val="00C57336"/>
    <w:rsid w:val="00C5739B"/>
    <w:rsid w:val="00C5761A"/>
    <w:rsid w:val="00C60D5A"/>
    <w:rsid w:val="00C61439"/>
    <w:rsid w:val="00C623D3"/>
    <w:rsid w:val="00C65513"/>
    <w:rsid w:val="00C65814"/>
    <w:rsid w:val="00C6675E"/>
    <w:rsid w:val="00C66E69"/>
    <w:rsid w:val="00C70413"/>
    <w:rsid w:val="00C7051A"/>
    <w:rsid w:val="00C705ED"/>
    <w:rsid w:val="00C71790"/>
    <w:rsid w:val="00C717BD"/>
    <w:rsid w:val="00C72717"/>
    <w:rsid w:val="00C727FF"/>
    <w:rsid w:val="00C72F89"/>
    <w:rsid w:val="00C73256"/>
    <w:rsid w:val="00C74BD8"/>
    <w:rsid w:val="00C75FBA"/>
    <w:rsid w:val="00C76352"/>
    <w:rsid w:val="00C765C7"/>
    <w:rsid w:val="00C77541"/>
    <w:rsid w:val="00C80AC8"/>
    <w:rsid w:val="00C80E69"/>
    <w:rsid w:val="00C819A3"/>
    <w:rsid w:val="00C853DD"/>
    <w:rsid w:val="00C914DD"/>
    <w:rsid w:val="00C91AD1"/>
    <w:rsid w:val="00C92E08"/>
    <w:rsid w:val="00CA04BA"/>
    <w:rsid w:val="00CA0EF2"/>
    <w:rsid w:val="00CA1F0F"/>
    <w:rsid w:val="00CA32E2"/>
    <w:rsid w:val="00CA4E94"/>
    <w:rsid w:val="00CA4F43"/>
    <w:rsid w:val="00CA622D"/>
    <w:rsid w:val="00CA6B9D"/>
    <w:rsid w:val="00CA6BDC"/>
    <w:rsid w:val="00CA6F1A"/>
    <w:rsid w:val="00CA7462"/>
    <w:rsid w:val="00CA7ABB"/>
    <w:rsid w:val="00CA7D92"/>
    <w:rsid w:val="00CA7E0F"/>
    <w:rsid w:val="00CB0504"/>
    <w:rsid w:val="00CB073D"/>
    <w:rsid w:val="00CB0A51"/>
    <w:rsid w:val="00CB0DA1"/>
    <w:rsid w:val="00CB12EF"/>
    <w:rsid w:val="00CB1B4F"/>
    <w:rsid w:val="00CB252A"/>
    <w:rsid w:val="00CB2A42"/>
    <w:rsid w:val="00CB2BF7"/>
    <w:rsid w:val="00CB36B1"/>
    <w:rsid w:val="00CB4C3B"/>
    <w:rsid w:val="00CB70EA"/>
    <w:rsid w:val="00CB750C"/>
    <w:rsid w:val="00CB781E"/>
    <w:rsid w:val="00CC1F91"/>
    <w:rsid w:val="00CC2882"/>
    <w:rsid w:val="00CC2892"/>
    <w:rsid w:val="00CC2BEB"/>
    <w:rsid w:val="00CC4B81"/>
    <w:rsid w:val="00CC550A"/>
    <w:rsid w:val="00CC635F"/>
    <w:rsid w:val="00CC6D4F"/>
    <w:rsid w:val="00CC70F7"/>
    <w:rsid w:val="00CD407F"/>
    <w:rsid w:val="00CD557E"/>
    <w:rsid w:val="00CD5631"/>
    <w:rsid w:val="00CD5CD2"/>
    <w:rsid w:val="00CD5FE7"/>
    <w:rsid w:val="00CD604B"/>
    <w:rsid w:val="00CD6EED"/>
    <w:rsid w:val="00CE0241"/>
    <w:rsid w:val="00CE152A"/>
    <w:rsid w:val="00CE1715"/>
    <w:rsid w:val="00CE1AF3"/>
    <w:rsid w:val="00CE1BA4"/>
    <w:rsid w:val="00CE26CD"/>
    <w:rsid w:val="00CE3752"/>
    <w:rsid w:val="00CE3E98"/>
    <w:rsid w:val="00CE425A"/>
    <w:rsid w:val="00CE4BAE"/>
    <w:rsid w:val="00CE6D3D"/>
    <w:rsid w:val="00CE7FC8"/>
    <w:rsid w:val="00CF18E7"/>
    <w:rsid w:val="00CF220C"/>
    <w:rsid w:val="00CF2371"/>
    <w:rsid w:val="00CF558C"/>
    <w:rsid w:val="00CF6C69"/>
    <w:rsid w:val="00D00095"/>
    <w:rsid w:val="00D0034F"/>
    <w:rsid w:val="00D009BB"/>
    <w:rsid w:val="00D02019"/>
    <w:rsid w:val="00D03243"/>
    <w:rsid w:val="00D038CC"/>
    <w:rsid w:val="00D03967"/>
    <w:rsid w:val="00D03D13"/>
    <w:rsid w:val="00D04BA7"/>
    <w:rsid w:val="00D10C8C"/>
    <w:rsid w:val="00D12991"/>
    <w:rsid w:val="00D14739"/>
    <w:rsid w:val="00D147C8"/>
    <w:rsid w:val="00D16A2E"/>
    <w:rsid w:val="00D16C4A"/>
    <w:rsid w:val="00D17FF8"/>
    <w:rsid w:val="00D201EF"/>
    <w:rsid w:val="00D20BFD"/>
    <w:rsid w:val="00D20D11"/>
    <w:rsid w:val="00D21ACA"/>
    <w:rsid w:val="00D22B60"/>
    <w:rsid w:val="00D233EE"/>
    <w:rsid w:val="00D250AD"/>
    <w:rsid w:val="00D267B2"/>
    <w:rsid w:val="00D27860"/>
    <w:rsid w:val="00D279EF"/>
    <w:rsid w:val="00D303D6"/>
    <w:rsid w:val="00D30E34"/>
    <w:rsid w:val="00D31311"/>
    <w:rsid w:val="00D32A41"/>
    <w:rsid w:val="00D32E79"/>
    <w:rsid w:val="00D334B0"/>
    <w:rsid w:val="00D3368C"/>
    <w:rsid w:val="00D33C92"/>
    <w:rsid w:val="00D33F3E"/>
    <w:rsid w:val="00D34B5E"/>
    <w:rsid w:val="00D34F31"/>
    <w:rsid w:val="00D3519D"/>
    <w:rsid w:val="00D3520B"/>
    <w:rsid w:val="00D3629F"/>
    <w:rsid w:val="00D40159"/>
    <w:rsid w:val="00D404E0"/>
    <w:rsid w:val="00D411FC"/>
    <w:rsid w:val="00D413E3"/>
    <w:rsid w:val="00D41718"/>
    <w:rsid w:val="00D430AB"/>
    <w:rsid w:val="00D43627"/>
    <w:rsid w:val="00D43B44"/>
    <w:rsid w:val="00D44580"/>
    <w:rsid w:val="00D45084"/>
    <w:rsid w:val="00D45F2E"/>
    <w:rsid w:val="00D46B0F"/>
    <w:rsid w:val="00D46E51"/>
    <w:rsid w:val="00D503B0"/>
    <w:rsid w:val="00D523B4"/>
    <w:rsid w:val="00D52898"/>
    <w:rsid w:val="00D52F6C"/>
    <w:rsid w:val="00D52FEA"/>
    <w:rsid w:val="00D5381C"/>
    <w:rsid w:val="00D546D6"/>
    <w:rsid w:val="00D561DB"/>
    <w:rsid w:val="00D57BCC"/>
    <w:rsid w:val="00D57D83"/>
    <w:rsid w:val="00D57E5A"/>
    <w:rsid w:val="00D609C1"/>
    <w:rsid w:val="00D60EAB"/>
    <w:rsid w:val="00D60EE3"/>
    <w:rsid w:val="00D61195"/>
    <w:rsid w:val="00D61367"/>
    <w:rsid w:val="00D61CF7"/>
    <w:rsid w:val="00D62034"/>
    <w:rsid w:val="00D632A2"/>
    <w:rsid w:val="00D639DE"/>
    <w:rsid w:val="00D63F79"/>
    <w:rsid w:val="00D64682"/>
    <w:rsid w:val="00D64FC8"/>
    <w:rsid w:val="00D65605"/>
    <w:rsid w:val="00D65C4E"/>
    <w:rsid w:val="00D70185"/>
    <w:rsid w:val="00D70A85"/>
    <w:rsid w:val="00D71D03"/>
    <w:rsid w:val="00D72067"/>
    <w:rsid w:val="00D76E1B"/>
    <w:rsid w:val="00D80D66"/>
    <w:rsid w:val="00D80FC6"/>
    <w:rsid w:val="00D8221A"/>
    <w:rsid w:val="00D82DD0"/>
    <w:rsid w:val="00D82F70"/>
    <w:rsid w:val="00D836B3"/>
    <w:rsid w:val="00D83E56"/>
    <w:rsid w:val="00D83EB6"/>
    <w:rsid w:val="00D848CC"/>
    <w:rsid w:val="00D87228"/>
    <w:rsid w:val="00D87BF6"/>
    <w:rsid w:val="00D91F78"/>
    <w:rsid w:val="00D9231D"/>
    <w:rsid w:val="00D92959"/>
    <w:rsid w:val="00D93655"/>
    <w:rsid w:val="00D93772"/>
    <w:rsid w:val="00D9453F"/>
    <w:rsid w:val="00D945A9"/>
    <w:rsid w:val="00D95D54"/>
    <w:rsid w:val="00DA0A47"/>
    <w:rsid w:val="00DA1147"/>
    <w:rsid w:val="00DA2081"/>
    <w:rsid w:val="00DA247F"/>
    <w:rsid w:val="00DA6E91"/>
    <w:rsid w:val="00DB0303"/>
    <w:rsid w:val="00DB302D"/>
    <w:rsid w:val="00DB6365"/>
    <w:rsid w:val="00DB658A"/>
    <w:rsid w:val="00DB65C9"/>
    <w:rsid w:val="00DB74CA"/>
    <w:rsid w:val="00DB7C6A"/>
    <w:rsid w:val="00DC0059"/>
    <w:rsid w:val="00DC0A49"/>
    <w:rsid w:val="00DC0FE8"/>
    <w:rsid w:val="00DC4369"/>
    <w:rsid w:val="00DC4A29"/>
    <w:rsid w:val="00DC5536"/>
    <w:rsid w:val="00DC581C"/>
    <w:rsid w:val="00DC5AB8"/>
    <w:rsid w:val="00DC6368"/>
    <w:rsid w:val="00DC68C0"/>
    <w:rsid w:val="00DD080B"/>
    <w:rsid w:val="00DD0883"/>
    <w:rsid w:val="00DD12EA"/>
    <w:rsid w:val="00DD1635"/>
    <w:rsid w:val="00DD2710"/>
    <w:rsid w:val="00DD352A"/>
    <w:rsid w:val="00DD36CF"/>
    <w:rsid w:val="00DD36D7"/>
    <w:rsid w:val="00DD4160"/>
    <w:rsid w:val="00DD4DEA"/>
    <w:rsid w:val="00DD6171"/>
    <w:rsid w:val="00DD63E7"/>
    <w:rsid w:val="00DD727A"/>
    <w:rsid w:val="00DD73A4"/>
    <w:rsid w:val="00DE0A5E"/>
    <w:rsid w:val="00DE350D"/>
    <w:rsid w:val="00DE4C33"/>
    <w:rsid w:val="00DE61A6"/>
    <w:rsid w:val="00DE61D4"/>
    <w:rsid w:val="00DE6994"/>
    <w:rsid w:val="00DE6E98"/>
    <w:rsid w:val="00DE7044"/>
    <w:rsid w:val="00DF005D"/>
    <w:rsid w:val="00DF099C"/>
    <w:rsid w:val="00DF0DD9"/>
    <w:rsid w:val="00DF1D0B"/>
    <w:rsid w:val="00DF2600"/>
    <w:rsid w:val="00DF27CD"/>
    <w:rsid w:val="00DF4563"/>
    <w:rsid w:val="00DF4AB8"/>
    <w:rsid w:val="00DF565A"/>
    <w:rsid w:val="00DF5FEE"/>
    <w:rsid w:val="00E0231E"/>
    <w:rsid w:val="00E0375C"/>
    <w:rsid w:val="00E0380B"/>
    <w:rsid w:val="00E03CDE"/>
    <w:rsid w:val="00E04C92"/>
    <w:rsid w:val="00E05EA6"/>
    <w:rsid w:val="00E07AB2"/>
    <w:rsid w:val="00E10104"/>
    <w:rsid w:val="00E106F4"/>
    <w:rsid w:val="00E1159D"/>
    <w:rsid w:val="00E12AF6"/>
    <w:rsid w:val="00E15DD0"/>
    <w:rsid w:val="00E165C9"/>
    <w:rsid w:val="00E167F2"/>
    <w:rsid w:val="00E178A6"/>
    <w:rsid w:val="00E17B42"/>
    <w:rsid w:val="00E2065F"/>
    <w:rsid w:val="00E21200"/>
    <w:rsid w:val="00E21A5B"/>
    <w:rsid w:val="00E21DDF"/>
    <w:rsid w:val="00E22FCE"/>
    <w:rsid w:val="00E23330"/>
    <w:rsid w:val="00E234F7"/>
    <w:rsid w:val="00E24850"/>
    <w:rsid w:val="00E2762A"/>
    <w:rsid w:val="00E305B5"/>
    <w:rsid w:val="00E312DC"/>
    <w:rsid w:val="00E32232"/>
    <w:rsid w:val="00E3299E"/>
    <w:rsid w:val="00E32E44"/>
    <w:rsid w:val="00E343FA"/>
    <w:rsid w:val="00E35F55"/>
    <w:rsid w:val="00E36207"/>
    <w:rsid w:val="00E374EB"/>
    <w:rsid w:val="00E40102"/>
    <w:rsid w:val="00E40C94"/>
    <w:rsid w:val="00E41414"/>
    <w:rsid w:val="00E4357D"/>
    <w:rsid w:val="00E45371"/>
    <w:rsid w:val="00E454B9"/>
    <w:rsid w:val="00E467D2"/>
    <w:rsid w:val="00E47E03"/>
    <w:rsid w:val="00E47E64"/>
    <w:rsid w:val="00E47F1E"/>
    <w:rsid w:val="00E5087F"/>
    <w:rsid w:val="00E51038"/>
    <w:rsid w:val="00E5133F"/>
    <w:rsid w:val="00E5343A"/>
    <w:rsid w:val="00E53F12"/>
    <w:rsid w:val="00E543D4"/>
    <w:rsid w:val="00E56DB9"/>
    <w:rsid w:val="00E61073"/>
    <w:rsid w:val="00E621E0"/>
    <w:rsid w:val="00E62582"/>
    <w:rsid w:val="00E6303E"/>
    <w:rsid w:val="00E63D97"/>
    <w:rsid w:val="00E649B7"/>
    <w:rsid w:val="00E65DE0"/>
    <w:rsid w:val="00E67798"/>
    <w:rsid w:val="00E67800"/>
    <w:rsid w:val="00E714A7"/>
    <w:rsid w:val="00E71AFE"/>
    <w:rsid w:val="00E721BA"/>
    <w:rsid w:val="00E73D26"/>
    <w:rsid w:val="00E7452F"/>
    <w:rsid w:val="00E74B3B"/>
    <w:rsid w:val="00E752E7"/>
    <w:rsid w:val="00E75611"/>
    <w:rsid w:val="00E77334"/>
    <w:rsid w:val="00E815D6"/>
    <w:rsid w:val="00E82BCE"/>
    <w:rsid w:val="00E833E6"/>
    <w:rsid w:val="00E84256"/>
    <w:rsid w:val="00E8516C"/>
    <w:rsid w:val="00E8634B"/>
    <w:rsid w:val="00E879BD"/>
    <w:rsid w:val="00E901FD"/>
    <w:rsid w:val="00E90A78"/>
    <w:rsid w:val="00E93420"/>
    <w:rsid w:val="00E94AB3"/>
    <w:rsid w:val="00E95DE6"/>
    <w:rsid w:val="00E96E3D"/>
    <w:rsid w:val="00E978C4"/>
    <w:rsid w:val="00EA14DF"/>
    <w:rsid w:val="00EA1FD3"/>
    <w:rsid w:val="00EA296D"/>
    <w:rsid w:val="00EA49B6"/>
    <w:rsid w:val="00EA530D"/>
    <w:rsid w:val="00EA60C1"/>
    <w:rsid w:val="00EA6136"/>
    <w:rsid w:val="00EA6D18"/>
    <w:rsid w:val="00EB0467"/>
    <w:rsid w:val="00EB0DC3"/>
    <w:rsid w:val="00EB784E"/>
    <w:rsid w:val="00EB78B4"/>
    <w:rsid w:val="00EB7F09"/>
    <w:rsid w:val="00EC04C8"/>
    <w:rsid w:val="00EC0903"/>
    <w:rsid w:val="00EC0C4D"/>
    <w:rsid w:val="00EC0C69"/>
    <w:rsid w:val="00EC13DE"/>
    <w:rsid w:val="00EC15E0"/>
    <w:rsid w:val="00EC1625"/>
    <w:rsid w:val="00EC4137"/>
    <w:rsid w:val="00EC453B"/>
    <w:rsid w:val="00EC4581"/>
    <w:rsid w:val="00EC47B0"/>
    <w:rsid w:val="00EC4875"/>
    <w:rsid w:val="00EC498C"/>
    <w:rsid w:val="00EC6065"/>
    <w:rsid w:val="00EC619B"/>
    <w:rsid w:val="00EC6637"/>
    <w:rsid w:val="00EC6DD5"/>
    <w:rsid w:val="00EC7346"/>
    <w:rsid w:val="00EC740F"/>
    <w:rsid w:val="00ED0046"/>
    <w:rsid w:val="00ED01AC"/>
    <w:rsid w:val="00ED06E0"/>
    <w:rsid w:val="00ED09BC"/>
    <w:rsid w:val="00ED1F58"/>
    <w:rsid w:val="00ED7129"/>
    <w:rsid w:val="00EE60E8"/>
    <w:rsid w:val="00EE60F2"/>
    <w:rsid w:val="00EE61A2"/>
    <w:rsid w:val="00EF4B83"/>
    <w:rsid w:val="00EF6175"/>
    <w:rsid w:val="00EF6807"/>
    <w:rsid w:val="00EF6ECC"/>
    <w:rsid w:val="00EF745B"/>
    <w:rsid w:val="00EF7EF6"/>
    <w:rsid w:val="00F005B0"/>
    <w:rsid w:val="00F007AB"/>
    <w:rsid w:val="00F054C6"/>
    <w:rsid w:val="00F07642"/>
    <w:rsid w:val="00F10C91"/>
    <w:rsid w:val="00F1187B"/>
    <w:rsid w:val="00F11BE1"/>
    <w:rsid w:val="00F11DC8"/>
    <w:rsid w:val="00F14755"/>
    <w:rsid w:val="00F149EC"/>
    <w:rsid w:val="00F16BAF"/>
    <w:rsid w:val="00F171F5"/>
    <w:rsid w:val="00F204BE"/>
    <w:rsid w:val="00F21D54"/>
    <w:rsid w:val="00F22A70"/>
    <w:rsid w:val="00F2559E"/>
    <w:rsid w:val="00F2621C"/>
    <w:rsid w:val="00F26B20"/>
    <w:rsid w:val="00F26B3F"/>
    <w:rsid w:val="00F26B88"/>
    <w:rsid w:val="00F27E75"/>
    <w:rsid w:val="00F301AF"/>
    <w:rsid w:val="00F3295F"/>
    <w:rsid w:val="00F34BD4"/>
    <w:rsid w:val="00F368AB"/>
    <w:rsid w:val="00F373D9"/>
    <w:rsid w:val="00F37961"/>
    <w:rsid w:val="00F37F5D"/>
    <w:rsid w:val="00F41213"/>
    <w:rsid w:val="00F41A82"/>
    <w:rsid w:val="00F41CAD"/>
    <w:rsid w:val="00F4230A"/>
    <w:rsid w:val="00F42968"/>
    <w:rsid w:val="00F429E8"/>
    <w:rsid w:val="00F42DBE"/>
    <w:rsid w:val="00F43901"/>
    <w:rsid w:val="00F43B5F"/>
    <w:rsid w:val="00F45A20"/>
    <w:rsid w:val="00F47583"/>
    <w:rsid w:val="00F50BBD"/>
    <w:rsid w:val="00F50E9C"/>
    <w:rsid w:val="00F5116C"/>
    <w:rsid w:val="00F5119A"/>
    <w:rsid w:val="00F53039"/>
    <w:rsid w:val="00F53681"/>
    <w:rsid w:val="00F56392"/>
    <w:rsid w:val="00F604BD"/>
    <w:rsid w:val="00F60B3B"/>
    <w:rsid w:val="00F61C12"/>
    <w:rsid w:val="00F61E1F"/>
    <w:rsid w:val="00F62412"/>
    <w:rsid w:val="00F62D80"/>
    <w:rsid w:val="00F62D8C"/>
    <w:rsid w:val="00F6392F"/>
    <w:rsid w:val="00F63A9F"/>
    <w:rsid w:val="00F64376"/>
    <w:rsid w:val="00F653A3"/>
    <w:rsid w:val="00F66EC3"/>
    <w:rsid w:val="00F67292"/>
    <w:rsid w:val="00F6730F"/>
    <w:rsid w:val="00F67E3D"/>
    <w:rsid w:val="00F70A9C"/>
    <w:rsid w:val="00F70D29"/>
    <w:rsid w:val="00F7155A"/>
    <w:rsid w:val="00F72180"/>
    <w:rsid w:val="00F726D8"/>
    <w:rsid w:val="00F72BA3"/>
    <w:rsid w:val="00F75151"/>
    <w:rsid w:val="00F81311"/>
    <w:rsid w:val="00F81BFE"/>
    <w:rsid w:val="00F82CC5"/>
    <w:rsid w:val="00F83909"/>
    <w:rsid w:val="00F850BD"/>
    <w:rsid w:val="00F86B16"/>
    <w:rsid w:val="00F906D7"/>
    <w:rsid w:val="00F90773"/>
    <w:rsid w:val="00F91643"/>
    <w:rsid w:val="00F92A08"/>
    <w:rsid w:val="00F93483"/>
    <w:rsid w:val="00F9447E"/>
    <w:rsid w:val="00F94A97"/>
    <w:rsid w:val="00F94C31"/>
    <w:rsid w:val="00F94E5C"/>
    <w:rsid w:val="00F94EC7"/>
    <w:rsid w:val="00FA0600"/>
    <w:rsid w:val="00FA14DF"/>
    <w:rsid w:val="00FA2191"/>
    <w:rsid w:val="00FA273A"/>
    <w:rsid w:val="00FA278D"/>
    <w:rsid w:val="00FA307C"/>
    <w:rsid w:val="00FA3BD7"/>
    <w:rsid w:val="00FA5506"/>
    <w:rsid w:val="00FA5936"/>
    <w:rsid w:val="00FA5BAC"/>
    <w:rsid w:val="00FA6339"/>
    <w:rsid w:val="00FA7501"/>
    <w:rsid w:val="00FA77D7"/>
    <w:rsid w:val="00FA7A70"/>
    <w:rsid w:val="00FB333C"/>
    <w:rsid w:val="00FB36C9"/>
    <w:rsid w:val="00FB41EF"/>
    <w:rsid w:val="00FB5881"/>
    <w:rsid w:val="00FB6F7E"/>
    <w:rsid w:val="00FB7D6C"/>
    <w:rsid w:val="00FC2129"/>
    <w:rsid w:val="00FC2AF1"/>
    <w:rsid w:val="00FC2C81"/>
    <w:rsid w:val="00FC4612"/>
    <w:rsid w:val="00FC5666"/>
    <w:rsid w:val="00FC5CCA"/>
    <w:rsid w:val="00FC65C3"/>
    <w:rsid w:val="00FC65CD"/>
    <w:rsid w:val="00FC68AD"/>
    <w:rsid w:val="00FC7E68"/>
    <w:rsid w:val="00FD1249"/>
    <w:rsid w:val="00FD31C9"/>
    <w:rsid w:val="00FD3943"/>
    <w:rsid w:val="00FD3DA8"/>
    <w:rsid w:val="00FD43F7"/>
    <w:rsid w:val="00FD4482"/>
    <w:rsid w:val="00FD5350"/>
    <w:rsid w:val="00FD64DB"/>
    <w:rsid w:val="00FD7ACA"/>
    <w:rsid w:val="00FD7F97"/>
    <w:rsid w:val="00FE18E8"/>
    <w:rsid w:val="00FE1A1A"/>
    <w:rsid w:val="00FE28AD"/>
    <w:rsid w:val="00FE3841"/>
    <w:rsid w:val="00FE49EE"/>
    <w:rsid w:val="00FE68F6"/>
    <w:rsid w:val="00FE69E0"/>
    <w:rsid w:val="00FE7F0B"/>
    <w:rsid w:val="00FF0121"/>
    <w:rsid w:val="00FF1768"/>
    <w:rsid w:val="00FF385C"/>
    <w:rsid w:val="00FF3E41"/>
    <w:rsid w:val="00FF42DD"/>
    <w:rsid w:val="00FF4D10"/>
    <w:rsid w:val="00FF56C6"/>
    <w:rsid w:val="00FF6DD9"/>
    <w:rsid w:val="00FF7819"/>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120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2D0C03"/>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rFonts w:ascii="Times New Roman" w:hAnsi="Times New Roman"/>
      <w:sz w:val="26"/>
    </w:rPr>
  </w:style>
  <w:style w:type="paragraph" w:styleId="Heading3">
    <w:name w:val="heading 3"/>
    <w:basedOn w:val="Heading1"/>
    <w:next w:val="BodyText"/>
    <w:autoRedefine/>
    <w:qFormat/>
    <w:rsid w:val="009337BA"/>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212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20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after="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pPr>
      <w:spacing w:after="0"/>
    </w:pPr>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spacing w:after="0"/>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paragraph" w:customStyle="1" w:styleId="Normal0">
    <w:name w:val="Normal_"/>
    <w:basedOn w:val="Normal"/>
    <w:semiHidden/>
    <w:rsid w:val="00D27860"/>
    <w:pPr>
      <w:spacing w:after="160" w:line="240" w:lineRule="exact"/>
    </w:pPr>
    <w:rPr>
      <w:rFonts w:ascii="Arial" w:eastAsia="SimSun" w:hAnsi="Arial" w:cs="Arial"/>
      <w:sz w:val="20"/>
      <w:szCs w:val="20"/>
    </w:rPr>
  </w:style>
  <w:style w:type="paragraph" w:styleId="Revision">
    <w:name w:val="Revision"/>
    <w:hidden/>
    <w:uiPriority w:val="99"/>
    <w:semiHidden/>
    <w:rsid w:val="00DE61D4"/>
    <w:rPr>
      <w:sz w:val="24"/>
      <w:szCs w:val="24"/>
    </w:rPr>
  </w:style>
  <w:style w:type="paragraph" w:customStyle="1" w:styleId="CRCoverPage">
    <w:name w:val="CR Cover Page"/>
    <w:rsid w:val="00520AD5"/>
    <w:pPr>
      <w:spacing w:after="120"/>
    </w:pPr>
    <w:rPr>
      <w:rFonts w:ascii="Arial" w:hAnsi="Arial"/>
      <w:lang w:val="en-GB"/>
    </w:rPr>
  </w:style>
  <w:style w:type="character" w:customStyle="1" w:styleId="BodyTextChar">
    <w:name w:val="Body Text Char"/>
    <w:link w:val="BodyText"/>
    <w:rsid w:val="00201CE3"/>
    <w:rPr>
      <w:sz w:val="24"/>
      <w:szCs w:val="24"/>
    </w:rPr>
  </w:style>
  <w:style w:type="character" w:customStyle="1" w:styleId="BodyTextIndentChar">
    <w:name w:val="Body Text Indent Char"/>
    <w:basedOn w:val="DefaultParagraphFont"/>
    <w:link w:val="BodyTextIndent"/>
    <w:rsid w:val="00201C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120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2D0C03"/>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rFonts w:ascii="Times New Roman" w:hAnsi="Times New Roman"/>
      <w:sz w:val="26"/>
    </w:rPr>
  </w:style>
  <w:style w:type="paragraph" w:styleId="Heading3">
    <w:name w:val="heading 3"/>
    <w:basedOn w:val="Heading1"/>
    <w:next w:val="BodyText"/>
    <w:autoRedefine/>
    <w:qFormat/>
    <w:rsid w:val="009337BA"/>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212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20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after="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pPr>
      <w:spacing w:after="0"/>
    </w:pPr>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spacing w:after="0"/>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paragraph" w:customStyle="1" w:styleId="Normal0">
    <w:name w:val="Normal_"/>
    <w:basedOn w:val="Normal"/>
    <w:semiHidden/>
    <w:rsid w:val="00D27860"/>
    <w:pPr>
      <w:spacing w:after="160" w:line="240" w:lineRule="exact"/>
    </w:pPr>
    <w:rPr>
      <w:rFonts w:ascii="Arial" w:eastAsia="SimSun" w:hAnsi="Arial" w:cs="Arial"/>
      <w:sz w:val="20"/>
      <w:szCs w:val="20"/>
    </w:rPr>
  </w:style>
  <w:style w:type="paragraph" w:styleId="Revision">
    <w:name w:val="Revision"/>
    <w:hidden/>
    <w:uiPriority w:val="99"/>
    <w:semiHidden/>
    <w:rsid w:val="00DE61D4"/>
    <w:rPr>
      <w:sz w:val="24"/>
      <w:szCs w:val="24"/>
    </w:rPr>
  </w:style>
  <w:style w:type="paragraph" w:customStyle="1" w:styleId="CRCoverPage">
    <w:name w:val="CR Cover Page"/>
    <w:rsid w:val="00520AD5"/>
    <w:pPr>
      <w:spacing w:after="120"/>
    </w:pPr>
    <w:rPr>
      <w:rFonts w:ascii="Arial" w:hAnsi="Arial"/>
      <w:lang w:val="en-GB"/>
    </w:rPr>
  </w:style>
  <w:style w:type="character" w:customStyle="1" w:styleId="BodyTextChar">
    <w:name w:val="Body Text Char"/>
    <w:link w:val="BodyText"/>
    <w:rsid w:val="00201CE3"/>
    <w:rPr>
      <w:sz w:val="24"/>
      <w:szCs w:val="24"/>
    </w:rPr>
  </w:style>
  <w:style w:type="character" w:customStyle="1" w:styleId="BodyTextIndentChar">
    <w:name w:val="Body Text Indent Char"/>
    <w:basedOn w:val="DefaultParagraphFont"/>
    <w:link w:val="BodyTextIndent"/>
    <w:rsid w:val="00201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74395">
      <w:bodyDiv w:val="1"/>
      <w:marLeft w:val="0"/>
      <w:marRight w:val="0"/>
      <w:marTop w:val="0"/>
      <w:marBottom w:val="0"/>
      <w:divBdr>
        <w:top w:val="none" w:sz="0" w:space="0" w:color="auto"/>
        <w:left w:val="none" w:sz="0" w:space="0" w:color="auto"/>
        <w:bottom w:val="none" w:sz="0" w:space="0" w:color="auto"/>
        <w:right w:val="none" w:sz="0" w:space="0" w:color="auto"/>
      </w:divBdr>
    </w:div>
    <w:div w:id="198009496">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84240469">
      <w:bodyDiv w:val="1"/>
      <w:marLeft w:val="0"/>
      <w:marRight w:val="0"/>
      <w:marTop w:val="0"/>
      <w:marBottom w:val="0"/>
      <w:divBdr>
        <w:top w:val="none" w:sz="0" w:space="0" w:color="auto"/>
        <w:left w:val="none" w:sz="0" w:space="0" w:color="auto"/>
        <w:bottom w:val="none" w:sz="0" w:space="0" w:color="auto"/>
        <w:right w:val="none" w:sz="0" w:space="0" w:color="auto"/>
      </w:divBdr>
    </w:div>
    <w:div w:id="533688683">
      <w:bodyDiv w:val="1"/>
      <w:marLeft w:val="0"/>
      <w:marRight w:val="0"/>
      <w:marTop w:val="0"/>
      <w:marBottom w:val="0"/>
      <w:divBdr>
        <w:top w:val="none" w:sz="0" w:space="0" w:color="auto"/>
        <w:left w:val="none" w:sz="0" w:space="0" w:color="auto"/>
        <w:bottom w:val="none" w:sz="0" w:space="0" w:color="auto"/>
        <w:right w:val="none" w:sz="0" w:space="0" w:color="auto"/>
      </w:divBdr>
    </w:div>
    <w:div w:id="582301349">
      <w:bodyDiv w:val="1"/>
      <w:marLeft w:val="0"/>
      <w:marRight w:val="0"/>
      <w:marTop w:val="0"/>
      <w:marBottom w:val="0"/>
      <w:divBdr>
        <w:top w:val="none" w:sz="0" w:space="0" w:color="auto"/>
        <w:left w:val="none" w:sz="0" w:space="0" w:color="auto"/>
        <w:bottom w:val="none" w:sz="0" w:space="0" w:color="auto"/>
        <w:right w:val="none" w:sz="0" w:space="0" w:color="auto"/>
      </w:divBdr>
    </w:div>
    <w:div w:id="600769695">
      <w:bodyDiv w:val="1"/>
      <w:marLeft w:val="0"/>
      <w:marRight w:val="0"/>
      <w:marTop w:val="0"/>
      <w:marBottom w:val="0"/>
      <w:divBdr>
        <w:top w:val="none" w:sz="0" w:space="0" w:color="auto"/>
        <w:left w:val="none" w:sz="0" w:space="0" w:color="auto"/>
        <w:bottom w:val="none" w:sz="0" w:space="0" w:color="auto"/>
        <w:right w:val="none" w:sz="0" w:space="0" w:color="auto"/>
      </w:divBdr>
      <w:divsChild>
        <w:div w:id="1833331370">
          <w:marLeft w:val="0"/>
          <w:marRight w:val="0"/>
          <w:marTop w:val="0"/>
          <w:marBottom w:val="0"/>
          <w:divBdr>
            <w:top w:val="none" w:sz="0" w:space="0" w:color="auto"/>
            <w:left w:val="none" w:sz="0" w:space="0" w:color="auto"/>
            <w:bottom w:val="none" w:sz="0" w:space="0" w:color="auto"/>
            <w:right w:val="none" w:sz="0" w:space="0" w:color="auto"/>
          </w:divBdr>
          <w:divsChild>
            <w:div w:id="41442934">
              <w:marLeft w:val="0"/>
              <w:marRight w:val="0"/>
              <w:marTop w:val="0"/>
              <w:marBottom w:val="0"/>
              <w:divBdr>
                <w:top w:val="none" w:sz="0" w:space="0" w:color="auto"/>
                <w:left w:val="none" w:sz="0" w:space="0" w:color="auto"/>
                <w:bottom w:val="none" w:sz="0" w:space="0" w:color="auto"/>
                <w:right w:val="none" w:sz="0" w:space="0" w:color="auto"/>
              </w:divBdr>
            </w:div>
            <w:div w:id="100271827">
              <w:marLeft w:val="0"/>
              <w:marRight w:val="0"/>
              <w:marTop w:val="0"/>
              <w:marBottom w:val="0"/>
              <w:divBdr>
                <w:top w:val="none" w:sz="0" w:space="0" w:color="auto"/>
                <w:left w:val="none" w:sz="0" w:space="0" w:color="auto"/>
                <w:bottom w:val="none" w:sz="0" w:space="0" w:color="auto"/>
                <w:right w:val="none" w:sz="0" w:space="0" w:color="auto"/>
              </w:divBdr>
            </w:div>
            <w:div w:id="145436624">
              <w:marLeft w:val="0"/>
              <w:marRight w:val="0"/>
              <w:marTop w:val="0"/>
              <w:marBottom w:val="0"/>
              <w:divBdr>
                <w:top w:val="none" w:sz="0" w:space="0" w:color="auto"/>
                <w:left w:val="none" w:sz="0" w:space="0" w:color="auto"/>
                <w:bottom w:val="none" w:sz="0" w:space="0" w:color="auto"/>
                <w:right w:val="none" w:sz="0" w:space="0" w:color="auto"/>
              </w:divBdr>
            </w:div>
            <w:div w:id="150296431">
              <w:marLeft w:val="0"/>
              <w:marRight w:val="0"/>
              <w:marTop w:val="0"/>
              <w:marBottom w:val="0"/>
              <w:divBdr>
                <w:top w:val="none" w:sz="0" w:space="0" w:color="auto"/>
                <w:left w:val="none" w:sz="0" w:space="0" w:color="auto"/>
                <w:bottom w:val="none" w:sz="0" w:space="0" w:color="auto"/>
                <w:right w:val="none" w:sz="0" w:space="0" w:color="auto"/>
              </w:divBdr>
            </w:div>
            <w:div w:id="287274724">
              <w:marLeft w:val="0"/>
              <w:marRight w:val="0"/>
              <w:marTop w:val="0"/>
              <w:marBottom w:val="0"/>
              <w:divBdr>
                <w:top w:val="none" w:sz="0" w:space="0" w:color="auto"/>
                <w:left w:val="none" w:sz="0" w:space="0" w:color="auto"/>
                <w:bottom w:val="none" w:sz="0" w:space="0" w:color="auto"/>
                <w:right w:val="none" w:sz="0" w:space="0" w:color="auto"/>
              </w:divBdr>
            </w:div>
            <w:div w:id="371926623">
              <w:marLeft w:val="0"/>
              <w:marRight w:val="0"/>
              <w:marTop w:val="0"/>
              <w:marBottom w:val="0"/>
              <w:divBdr>
                <w:top w:val="none" w:sz="0" w:space="0" w:color="auto"/>
                <w:left w:val="none" w:sz="0" w:space="0" w:color="auto"/>
                <w:bottom w:val="none" w:sz="0" w:space="0" w:color="auto"/>
                <w:right w:val="none" w:sz="0" w:space="0" w:color="auto"/>
              </w:divBdr>
            </w:div>
            <w:div w:id="470948805">
              <w:marLeft w:val="0"/>
              <w:marRight w:val="0"/>
              <w:marTop w:val="0"/>
              <w:marBottom w:val="0"/>
              <w:divBdr>
                <w:top w:val="none" w:sz="0" w:space="0" w:color="auto"/>
                <w:left w:val="none" w:sz="0" w:space="0" w:color="auto"/>
                <w:bottom w:val="none" w:sz="0" w:space="0" w:color="auto"/>
                <w:right w:val="none" w:sz="0" w:space="0" w:color="auto"/>
              </w:divBdr>
            </w:div>
            <w:div w:id="540702614">
              <w:marLeft w:val="0"/>
              <w:marRight w:val="0"/>
              <w:marTop w:val="0"/>
              <w:marBottom w:val="0"/>
              <w:divBdr>
                <w:top w:val="none" w:sz="0" w:space="0" w:color="auto"/>
                <w:left w:val="none" w:sz="0" w:space="0" w:color="auto"/>
                <w:bottom w:val="none" w:sz="0" w:space="0" w:color="auto"/>
                <w:right w:val="none" w:sz="0" w:space="0" w:color="auto"/>
              </w:divBdr>
            </w:div>
            <w:div w:id="746733269">
              <w:marLeft w:val="0"/>
              <w:marRight w:val="0"/>
              <w:marTop w:val="0"/>
              <w:marBottom w:val="0"/>
              <w:divBdr>
                <w:top w:val="none" w:sz="0" w:space="0" w:color="auto"/>
                <w:left w:val="none" w:sz="0" w:space="0" w:color="auto"/>
                <w:bottom w:val="none" w:sz="0" w:space="0" w:color="auto"/>
                <w:right w:val="none" w:sz="0" w:space="0" w:color="auto"/>
              </w:divBdr>
            </w:div>
            <w:div w:id="1046218862">
              <w:marLeft w:val="0"/>
              <w:marRight w:val="0"/>
              <w:marTop w:val="0"/>
              <w:marBottom w:val="0"/>
              <w:divBdr>
                <w:top w:val="none" w:sz="0" w:space="0" w:color="auto"/>
                <w:left w:val="none" w:sz="0" w:space="0" w:color="auto"/>
                <w:bottom w:val="none" w:sz="0" w:space="0" w:color="auto"/>
                <w:right w:val="none" w:sz="0" w:space="0" w:color="auto"/>
              </w:divBdr>
            </w:div>
            <w:div w:id="1244879048">
              <w:marLeft w:val="0"/>
              <w:marRight w:val="0"/>
              <w:marTop w:val="0"/>
              <w:marBottom w:val="0"/>
              <w:divBdr>
                <w:top w:val="none" w:sz="0" w:space="0" w:color="auto"/>
                <w:left w:val="none" w:sz="0" w:space="0" w:color="auto"/>
                <w:bottom w:val="none" w:sz="0" w:space="0" w:color="auto"/>
                <w:right w:val="none" w:sz="0" w:space="0" w:color="auto"/>
              </w:divBdr>
            </w:div>
            <w:div w:id="1314988581">
              <w:marLeft w:val="0"/>
              <w:marRight w:val="0"/>
              <w:marTop w:val="0"/>
              <w:marBottom w:val="0"/>
              <w:divBdr>
                <w:top w:val="none" w:sz="0" w:space="0" w:color="auto"/>
                <w:left w:val="none" w:sz="0" w:space="0" w:color="auto"/>
                <w:bottom w:val="none" w:sz="0" w:space="0" w:color="auto"/>
                <w:right w:val="none" w:sz="0" w:space="0" w:color="auto"/>
              </w:divBdr>
            </w:div>
            <w:div w:id="1469857300">
              <w:marLeft w:val="0"/>
              <w:marRight w:val="0"/>
              <w:marTop w:val="0"/>
              <w:marBottom w:val="0"/>
              <w:divBdr>
                <w:top w:val="none" w:sz="0" w:space="0" w:color="auto"/>
                <w:left w:val="none" w:sz="0" w:space="0" w:color="auto"/>
                <w:bottom w:val="none" w:sz="0" w:space="0" w:color="auto"/>
                <w:right w:val="none" w:sz="0" w:space="0" w:color="auto"/>
              </w:divBdr>
            </w:div>
            <w:div w:id="1483305404">
              <w:marLeft w:val="0"/>
              <w:marRight w:val="0"/>
              <w:marTop w:val="0"/>
              <w:marBottom w:val="0"/>
              <w:divBdr>
                <w:top w:val="none" w:sz="0" w:space="0" w:color="auto"/>
                <w:left w:val="none" w:sz="0" w:space="0" w:color="auto"/>
                <w:bottom w:val="none" w:sz="0" w:space="0" w:color="auto"/>
                <w:right w:val="none" w:sz="0" w:space="0" w:color="auto"/>
              </w:divBdr>
            </w:div>
            <w:div w:id="1490705244">
              <w:marLeft w:val="0"/>
              <w:marRight w:val="0"/>
              <w:marTop w:val="0"/>
              <w:marBottom w:val="0"/>
              <w:divBdr>
                <w:top w:val="none" w:sz="0" w:space="0" w:color="auto"/>
                <w:left w:val="none" w:sz="0" w:space="0" w:color="auto"/>
                <w:bottom w:val="none" w:sz="0" w:space="0" w:color="auto"/>
                <w:right w:val="none" w:sz="0" w:space="0" w:color="auto"/>
              </w:divBdr>
            </w:div>
            <w:div w:id="1537308830">
              <w:marLeft w:val="0"/>
              <w:marRight w:val="0"/>
              <w:marTop w:val="0"/>
              <w:marBottom w:val="0"/>
              <w:divBdr>
                <w:top w:val="none" w:sz="0" w:space="0" w:color="auto"/>
                <w:left w:val="none" w:sz="0" w:space="0" w:color="auto"/>
                <w:bottom w:val="none" w:sz="0" w:space="0" w:color="auto"/>
                <w:right w:val="none" w:sz="0" w:space="0" w:color="auto"/>
              </w:divBdr>
            </w:div>
            <w:div w:id="1686861064">
              <w:marLeft w:val="0"/>
              <w:marRight w:val="0"/>
              <w:marTop w:val="0"/>
              <w:marBottom w:val="0"/>
              <w:divBdr>
                <w:top w:val="none" w:sz="0" w:space="0" w:color="auto"/>
                <w:left w:val="none" w:sz="0" w:space="0" w:color="auto"/>
                <w:bottom w:val="none" w:sz="0" w:space="0" w:color="auto"/>
                <w:right w:val="none" w:sz="0" w:space="0" w:color="auto"/>
              </w:divBdr>
            </w:div>
            <w:div w:id="1728339197">
              <w:marLeft w:val="0"/>
              <w:marRight w:val="0"/>
              <w:marTop w:val="0"/>
              <w:marBottom w:val="0"/>
              <w:divBdr>
                <w:top w:val="none" w:sz="0" w:space="0" w:color="auto"/>
                <w:left w:val="none" w:sz="0" w:space="0" w:color="auto"/>
                <w:bottom w:val="none" w:sz="0" w:space="0" w:color="auto"/>
                <w:right w:val="none" w:sz="0" w:space="0" w:color="auto"/>
              </w:divBdr>
            </w:div>
            <w:div w:id="1763796147">
              <w:marLeft w:val="0"/>
              <w:marRight w:val="0"/>
              <w:marTop w:val="0"/>
              <w:marBottom w:val="0"/>
              <w:divBdr>
                <w:top w:val="none" w:sz="0" w:space="0" w:color="auto"/>
                <w:left w:val="none" w:sz="0" w:space="0" w:color="auto"/>
                <w:bottom w:val="none" w:sz="0" w:space="0" w:color="auto"/>
                <w:right w:val="none" w:sz="0" w:space="0" w:color="auto"/>
              </w:divBdr>
            </w:div>
            <w:div w:id="1876306647">
              <w:marLeft w:val="0"/>
              <w:marRight w:val="0"/>
              <w:marTop w:val="0"/>
              <w:marBottom w:val="0"/>
              <w:divBdr>
                <w:top w:val="none" w:sz="0" w:space="0" w:color="auto"/>
                <w:left w:val="none" w:sz="0" w:space="0" w:color="auto"/>
                <w:bottom w:val="none" w:sz="0" w:space="0" w:color="auto"/>
                <w:right w:val="none" w:sz="0" w:space="0" w:color="auto"/>
              </w:divBdr>
            </w:div>
            <w:div w:id="1972785871">
              <w:marLeft w:val="0"/>
              <w:marRight w:val="0"/>
              <w:marTop w:val="0"/>
              <w:marBottom w:val="0"/>
              <w:divBdr>
                <w:top w:val="none" w:sz="0" w:space="0" w:color="auto"/>
                <w:left w:val="none" w:sz="0" w:space="0" w:color="auto"/>
                <w:bottom w:val="none" w:sz="0" w:space="0" w:color="auto"/>
                <w:right w:val="none" w:sz="0" w:space="0" w:color="auto"/>
              </w:divBdr>
            </w:div>
            <w:div w:id="20461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04188">
      <w:bodyDiv w:val="1"/>
      <w:marLeft w:val="0"/>
      <w:marRight w:val="0"/>
      <w:marTop w:val="0"/>
      <w:marBottom w:val="0"/>
      <w:divBdr>
        <w:top w:val="none" w:sz="0" w:space="0" w:color="auto"/>
        <w:left w:val="none" w:sz="0" w:space="0" w:color="auto"/>
        <w:bottom w:val="none" w:sz="0" w:space="0" w:color="auto"/>
        <w:right w:val="none" w:sz="0" w:space="0" w:color="auto"/>
      </w:divBdr>
    </w:div>
    <w:div w:id="789785329">
      <w:bodyDiv w:val="1"/>
      <w:marLeft w:val="0"/>
      <w:marRight w:val="0"/>
      <w:marTop w:val="0"/>
      <w:marBottom w:val="0"/>
      <w:divBdr>
        <w:top w:val="none" w:sz="0" w:space="0" w:color="auto"/>
        <w:left w:val="none" w:sz="0" w:space="0" w:color="auto"/>
        <w:bottom w:val="none" w:sz="0" w:space="0" w:color="auto"/>
        <w:right w:val="none" w:sz="0" w:space="0" w:color="auto"/>
      </w:divBdr>
    </w:div>
    <w:div w:id="888960260">
      <w:bodyDiv w:val="1"/>
      <w:marLeft w:val="0"/>
      <w:marRight w:val="0"/>
      <w:marTop w:val="0"/>
      <w:marBottom w:val="0"/>
      <w:divBdr>
        <w:top w:val="none" w:sz="0" w:space="0" w:color="auto"/>
        <w:left w:val="none" w:sz="0" w:space="0" w:color="auto"/>
        <w:bottom w:val="none" w:sz="0" w:space="0" w:color="auto"/>
        <w:right w:val="none" w:sz="0" w:space="0" w:color="auto"/>
      </w:divBdr>
    </w:div>
    <w:div w:id="897589301">
      <w:bodyDiv w:val="1"/>
      <w:marLeft w:val="0"/>
      <w:marRight w:val="0"/>
      <w:marTop w:val="0"/>
      <w:marBottom w:val="0"/>
      <w:divBdr>
        <w:top w:val="none" w:sz="0" w:space="0" w:color="auto"/>
        <w:left w:val="none" w:sz="0" w:space="0" w:color="auto"/>
        <w:bottom w:val="none" w:sz="0" w:space="0" w:color="auto"/>
        <w:right w:val="none" w:sz="0" w:space="0" w:color="auto"/>
      </w:divBdr>
      <w:divsChild>
        <w:div w:id="893925718">
          <w:marLeft w:val="0"/>
          <w:marRight w:val="0"/>
          <w:marTop w:val="0"/>
          <w:marBottom w:val="0"/>
          <w:divBdr>
            <w:top w:val="none" w:sz="0" w:space="0" w:color="auto"/>
            <w:left w:val="none" w:sz="0" w:space="0" w:color="auto"/>
            <w:bottom w:val="none" w:sz="0" w:space="0" w:color="auto"/>
            <w:right w:val="none" w:sz="0" w:space="0" w:color="auto"/>
          </w:divBdr>
        </w:div>
      </w:divsChild>
    </w:div>
    <w:div w:id="955133644">
      <w:bodyDiv w:val="1"/>
      <w:marLeft w:val="0"/>
      <w:marRight w:val="0"/>
      <w:marTop w:val="0"/>
      <w:marBottom w:val="0"/>
      <w:divBdr>
        <w:top w:val="none" w:sz="0" w:space="0" w:color="auto"/>
        <w:left w:val="none" w:sz="0" w:space="0" w:color="auto"/>
        <w:bottom w:val="none" w:sz="0" w:space="0" w:color="auto"/>
        <w:right w:val="none" w:sz="0" w:space="0" w:color="auto"/>
      </w:divBdr>
    </w:div>
    <w:div w:id="1272013310">
      <w:bodyDiv w:val="1"/>
      <w:marLeft w:val="0"/>
      <w:marRight w:val="0"/>
      <w:marTop w:val="0"/>
      <w:marBottom w:val="0"/>
      <w:divBdr>
        <w:top w:val="none" w:sz="0" w:space="0" w:color="auto"/>
        <w:left w:val="none" w:sz="0" w:space="0" w:color="auto"/>
        <w:bottom w:val="none" w:sz="0" w:space="0" w:color="auto"/>
        <w:right w:val="none" w:sz="0" w:space="0" w:color="auto"/>
      </w:divBdr>
    </w:div>
    <w:div w:id="1528257790">
      <w:bodyDiv w:val="1"/>
      <w:marLeft w:val="0"/>
      <w:marRight w:val="0"/>
      <w:marTop w:val="0"/>
      <w:marBottom w:val="0"/>
      <w:divBdr>
        <w:top w:val="none" w:sz="0" w:space="0" w:color="auto"/>
        <w:left w:val="none" w:sz="0" w:space="0" w:color="auto"/>
        <w:bottom w:val="none" w:sz="0" w:space="0" w:color="auto"/>
        <w:right w:val="none" w:sz="0" w:space="0" w:color="auto"/>
      </w:divBdr>
    </w:div>
    <w:div w:id="1595279006">
      <w:bodyDiv w:val="1"/>
      <w:marLeft w:val="0"/>
      <w:marRight w:val="0"/>
      <w:marTop w:val="0"/>
      <w:marBottom w:val="0"/>
      <w:divBdr>
        <w:top w:val="none" w:sz="0" w:space="0" w:color="auto"/>
        <w:left w:val="none" w:sz="0" w:space="0" w:color="auto"/>
        <w:bottom w:val="none" w:sz="0" w:space="0" w:color="auto"/>
        <w:right w:val="none" w:sz="0" w:space="0" w:color="auto"/>
      </w:divBdr>
    </w:div>
    <w:div w:id="1650282816">
      <w:bodyDiv w:val="1"/>
      <w:marLeft w:val="0"/>
      <w:marRight w:val="0"/>
      <w:marTop w:val="0"/>
      <w:marBottom w:val="0"/>
      <w:divBdr>
        <w:top w:val="none" w:sz="0" w:space="0" w:color="auto"/>
        <w:left w:val="none" w:sz="0" w:space="0" w:color="auto"/>
        <w:bottom w:val="none" w:sz="0" w:space="0" w:color="auto"/>
        <w:right w:val="none" w:sz="0" w:space="0" w:color="auto"/>
      </w:divBdr>
      <w:divsChild>
        <w:div w:id="455374395">
          <w:marLeft w:val="0"/>
          <w:marRight w:val="0"/>
          <w:marTop w:val="0"/>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761218772">
      <w:bodyDiv w:val="1"/>
      <w:marLeft w:val="0"/>
      <w:marRight w:val="0"/>
      <w:marTop w:val="0"/>
      <w:marBottom w:val="0"/>
      <w:divBdr>
        <w:top w:val="none" w:sz="0" w:space="0" w:color="auto"/>
        <w:left w:val="none" w:sz="0" w:space="0" w:color="auto"/>
        <w:bottom w:val="none" w:sz="0" w:space="0" w:color="auto"/>
        <w:right w:val="none" w:sz="0" w:space="0" w:color="auto"/>
      </w:divBdr>
      <w:divsChild>
        <w:div w:id="1054349977">
          <w:marLeft w:val="0"/>
          <w:marRight w:val="0"/>
          <w:marTop w:val="0"/>
          <w:marBottom w:val="0"/>
          <w:divBdr>
            <w:top w:val="none" w:sz="0" w:space="0" w:color="auto"/>
            <w:left w:val="none" w:sz="0" w:space="0" w:color="auto"/>
            <w:bottom w:val="none" w:sz="0" w:space="0" w:color="auto"/>
            <w:right w:val="none" w:sz="0" w:space="0" w:color="auto"/>
          </w:divBdr>
          <w:divsChild>
            <w:div w:id="92015393">
              <w:marLeft w:val="0"/>
              <w:marRight w:val="0"/>
              <w:marTop w:val="0"/>
              <w:marBottom w:val="0"/>
              <w:divBdr>
                <w:top w:val="none" w:sz="0" w:space="0" w:color="auto"/>
                <w:left w:val="none" w:sz="0" w:space="0" w:color="auto"/>
                <w:bottom w:val="none" w:sz="0" w:space="0" w:color="auto"/>
                <w:right w:val="none" w:sz="0" w:space="0" w:color="auto"/>
              </w:divBdr>
            </w:div>
            <w:div w:id="95910140">
              <w:marLeft w:val="0"/>
              <w:marRight w:val="0"/>
              <w:marTop w:val="0"/>
              <w:marBottom w:val="0"/>
              <w:divBdr>
                <w:top w:val="none" w:sz="0" w:space="0" w:color="auto"/>
                <w:left w:val="none" w:sz="0" w:space="0" w:color="auto"/>
                <w:bottom w:val="none" w:sz="0" w:space="0" w:color="auto"/>
                <w:right w:val="none" w:sz="0" w:space="0" w:color="auto"/>
              </w:divBdr>
            </w:div>
            <w:div w:id="188032687">
              <w:marLeft w:val="0"/>
              <w:marRight w:val="0"/>
              <w:marTop w:val="0"/>
              <w:marBottom w:val="0"/>
              <w:divBdr>
                <w:top w:val="none" w:sz="0" w:space="0" w:color="auto"/>
                <w:left w:val="none" w:sz="0" w:space="0" w:color="auto"/>
                <w:bottom w:val="none" w:sz="0" w:space="0" w:color="auto"/>
                <w:right w:val="none" w:sz="0" w:space="0" w:color="auto"/>
              </w:divBdr>
            </w:div>
            <w:div w:id="286011989">
              <w:marLeft w:val="0"/>
              <w:marRight w:val="0"/>
              <w:marTop w:val="0"/>
              <w:marBottom w:val="0"/>
              <w:divBdr>
                <w:top w:val="none" w:sz="0" w:space="0" w:color="auto"/>
                <w:left w:val="none" w:sz="0" w:space="0" w:color="auto"/>
                <w:bottom w:val="none" w:sz="0" w:space="0" w:color="auto"/>
                <w:right w:val="none" w:sz="0" w:space="0" w:color="auto"/>
              </w:divBdr>
            </w:div>
            <w:div w:id="357395375">
              <w:marLeft w:val="0"/>
              <w:marRight w:val="0"/>
              <w:marTop w:val="0"/>
              <w:marBottom w:val="0"/>
              <w:divBdr>
                <w:top w:val="none" w:sz="0" w:space="0" w:color="auto"/>
                <w:left w:val="none" w:sz="0" w:space="0" w:color="auto"/>
                <w:bottom w:val="none" w:sz="0" w:space="0" w:color="auto"/>
                <w:right w:val="none" w:sz="0" w:space="0" w:color="auto"/>
              </w:divBdr>
            </w:div>
            <w:div w:id="370031031">
              <w:marLeft w:val="0"/>
              <w:marRight w:val="0"/>
              <w:marTop w:val="0"/>
              <w:marBottom w:val="0"/>
              <w:divBdr>
                <w:top w:val="none" w:sz="0" w:space="0" w:color="auto"/>
                <w:left w:val="none" w:sz="0" w:space="0" w:color="auto"/>
                <w:bottom w:val="none" w:sz="0" w:space="0" w:color="auto"/>
                <w:right w:val="none" w:sz="0" w:space="0" w:color="auto"/>
              </w:divBdr>
            </w:div>
            <w:div w:id="378549468">
              <w:marLeft w:val="0"/>
              <w:marRight w:val="0"/>
              <w:marTop w:val="0"/>
              <w:marBottom w:val="0"/>
              <w:divBdr>
                <w:top w:val="none" w:sz="0" w:space="0" w:color="auto"/>
                <w:left w:val="none" w:sz="0" w:space="0" w:color="auto"/>
                <w:bottom w:val="none" w:sz="0" w:space="0" w:color="auto"/>
                <w:right w:val="none" w:sz="0" w:space="0" w:color="auto"/>
              </w:divBdr>
            </w:div>
            <w:div w:id="636959092">
              <w:marLeft w:val="0"/>
              <w:marRight w:val="0"/>
              <w:marTop w:val="0"/>
              <w:marBottom w:val="0"/>
              <w:divBdr>
                <w:top w:val="none" w:sz="0" w:space="0" w:color="auto"/>
                <w:left w:val="none" w:sz="0" w:space="0" w:color="auto"/>
                <w:bottom w:val="none" w:sz="0" w:space="0" w:color="auto"/>
                <w:right w:val="none" w:sz="0" w:space="0" w:color="auto"/>
              </w:divBdr>
            </w:div>
            <w:div w:id="865102838">
              <w:marLeft w:val="0"/>
              <w:marRight w:val="0"/>
              <w:marTop w:val="0"/>
              <w:marBottom w:val="0"/>
              <w:divBdr>
                <w:top w:val="none" w:sz="0" w:space="0" w:color="auto"/>
                <w:left w:val="none" w:sz="0" w:space="0" w:color="auto"/>
                <w:bottom w:val="none" w:sz="0" w:space="0" w:color="auto"/>
                <w:right w:val="none" w:sz="0" w:space="0" w:color="auto"/>
              </w:divBdr>
            </w:div>
            <w:div w:id="906495672">
              <w:marLeft w:val="0"/>
              <w:marRight w:val="0"/>
              <w:marTop w:val="0"/>
              <w:marBottom w:val="0"/>
              <w:divBdr>
                <w:top w:val="none" w:sz="0" w:space="0" w:color="auto"/>
                <w:left w:val="none" w:sz="0" w:space="0" w:color="auto"/>
                <w:bottom w:val="none" w:sz="0" w:space="0" w:color="auto"/>
                <w:right w:val="none" w:sz="0" w:space="0" w:color="auto"/>
              </w:divBdr>
            </w:div>
            <w:div w:id="915045309">
              <w:marLeft w:val="0"/>
              <w:marRight w:val="0"/>
              <w:marTop w:val="0"/>
              <w:marBottom w:val="0"/>
              <w:divBdr>
                <w:top w:val="none" w:sz="0" w:space="0" w:color="auto"/>
                <w:left w:val="none" w:sz="0" w:space="0" w:color="auto"/>
                <w:bottom w:val="none" w:sz="0" w:space="0" w:color="auto"/>
                <w:right w:val="none" w:sz="0" w:space="0" w:color="auto"/>
              </w:divBdr>
            </w:div>
            <w:div w:id="949164158">
              <w:marLeft w:val="0"/>
              <w:marRight w:val="0"/>
              <w:marTop w:val="0"/>
              <w:marBottom w:val="0"/>
              <w:divBdr>
                <w:top w:val="none" w:sz="0" w:space="0" w:color="auto"/>
                <w:left w:val="none" w:sz="0" w:space="0" w:color="auto"/>
                <w:bottom w:val="none" w:sz="0" w:space="0" w:color="auto"/>
                <w:right w:val="none" w:sz="0" w:space="0" w:color="auto"/>
              </w:divBdr>
            </w:div>
            <w:div w:id="965433647">
              <w:marLeft w:val="0"/>
              <w:marRight w:val="0"/>
              <w:marTop w:val="0"/>
              <w:marBottom w:val="0"/>
              <w:divBdr>
                <w:top w:val="none" w:sz="0" w:space="0" w:color="auto"/>
                <w:left w:val="none" w:sz="0" w:space="0" w:color="auto"/>
                <w:bottom w:val="none" w:sz="0" w:space="0" w:color="auto"/>
                <w:right w:val="none" w:sz="0" w:space="0" w:color="auto"/>
              </w:divBdr>
            </w:div>
            <w:div w:id="1010644503">
              <w:marLeft w:val="0"/>
              <w:marRight w:val="0"/>
              <w:marTop w:val="0"/>
              <w:marBottom w:val="0"/>
              <w:divBdr>
                <w:top w:val="none" w:sz="0" w:space="0" w:color="auto"/>
                <w:left w:val="none" w:sz="0" w:space="0" w:color="auto"/>
                <w:bottom w:val="none" w:sz="0" w:space="0" w:color="auto"/>
                <w:right w:val="none" w:sz="0" w:space="0" w:color="auto"/>
              </w:divBdr>
            </w:div>
            <w:div w:id="1170827173">
              <w:marLeft w:val="0"/>
              <w:marRight w:val="0"/>
              <w:marTop w:val="0"/>
              <w:marBottom w:val="0"/>
              <w:divBdr>
                <w:top w:val="none" w:sz="0" w:space="0" w:color="auto"/>
                <w:left w:val="none" w:sz="0" w:space="0" w:color="auto"/>
                <w:bottom w:val="none" w:sz="0" w:space="0" w:color="auto"/>
                <w:right w:val="none" w:sz="0" w:space="0" w:color="auto"/>
              </w:divBdr>
            </w:div>
            <w:div w:id="1210874132">
              <w:marLeft w:val="0"/>
              <w:marRight w:val="0"/>
              <w:marTop w:val="0"/>
              <w:marBottom w:val="0"/>
              <w:divBdr>
                <w:top w:val="none" w:sz="0" w:space="0" w:color="auto"/>
                <w:left w:val="none" w:sz="0" w:space="0" w:color="auto"/>
                <w:bottom w:val="none" w:sz="0" w:space="0" w:color="auto"/>
                <w:right w:val="none" w:sz="0" w:space="0" w:color="auto"/>
              </w:divBdr>
            </w:div>
            <w:div w:id="1874539125">
              <w:marLeft w:val="0"/>
              <w:marRight w:val="0"/>
              <w:marTop w:val="0"/>
              <w:marBottom w:val="0"/>
              <w:divBdr>
                <w:top w:val="none" w:sz="0" w:space="0" w:color="auto"/>
                <w:left w:val="none" w:sz="0" w:space="0" w:color="auto"/>
                <w:bottom w:val="none" w:sz="0" w:space="0" w:color="auto"/>
                <w:right w:val="none" w:sz="0" w:space="0" w:color="auto"/>
              </w:divBdr>
            </w:div>
            <w:div w:id="1952084626">
              <w:marLeft w:val="0"/>
              <w:marRight w:val="0"/>
              <w:marTop w:val="0"/>
              <w:marBottom w:val="0"/>
              <w:divBdr>
                <w:top w:val="none" w:sz="0" w:space="0" w:color="auto"/>
                <w:left w:val="none" w:sz="0" w:space="0" w:color="auto"/>
                <w:bottom w:val="none" w:sz="0" w:space="0" w:color="auto"/>
                <w:right w:val="none" w:sz="0" w:space="0" w:color="auto"/>
              </w:divBdr>
            </w:div>
            <w:div w:id="1955211832">
              <w:marLeft w:val="0"/>
              <w:marRight w:val="0"/>
              <w:marTop w:val="0"/>
              <w:marBottom w:val="0"/>
              <w:divBdr>
                <w:top w:val="none" w:sz="0" w:space="0" w:color="auto"/>
                <w:left w:val="none" w:sz="0" w:space="0" w:color="auto"/>
                <w:bottom w:val="none" w:sz="0" w:space="0" w:color="auto"/>
                <w:right w:val="none" w:sz="0" w:space="0" w:color="auto"/>
              </w:divBdr>
            </w:div>
            <w:div w:id="1986466008">
              <w:marLeft w:val="0"/>
              <w:marRight w:val="0"/>
              <w:marTop w:val="0"/>
              <w:marBottom w:val="0"/>
              <w:divBdr>
                <w:top w:val="none" w:sz="0" w:space="0" w:color="auto"/>
                <w:left w:val="none" w:sz="0" w:space="0" w:color="auto"/>
                <w:bottom w:val="none" w:sz="0" w:space="0" w:color="auto"/>
                <w:right w:val="none" w:sz="0" w:space="0" w:color="auto"/>
              </w:divBdr>
            </w:div>
            <w:div w:id="2014257742">
              <w:marLeft w:val="0"/>
              <w:marRight w:val="0"/>
              <w:marTop w:val="0"/>
              <w:marBottom w:val="0"/>
              <w:divBdr>
                <w:top w:val="none" w:sz="0" w:space="0" w:color="auto"/>
                <w:left w:val="none" w:sz="0" w:space="0" w:color="auto"/>
                <w:bottom w:val="none" w:sz="0" w:space="0" w:color="auto"/>
                <w:right w:val="none" w:sz="0" w:space="0" w:color="auto"/>
              </w:divBdr>
            </w:div>
            <w:div w:id="2101097378">
              <w:marLeft w:val="0"/>
              <w:marRight w:val="0"/>
              <w:marTop w:val="0"/>
              <w:marBottom w:val="0"/>
              <w:divBdr>
                <w:top w:val="none" w:sz="0" w:space="0" w:color="auto"/>
                <w:left w:val="none" w:sz="0" w:space="0" w:color="auto"/>
                <w:bottom w:val="none" w:sz="0" w:space="0" w:color="auto"/>
                <w:right w:val="none" w:sz="0" w:space="0" w:color="auto"/>
              </w:divBdr>
            </w:div>
            <w:div w:id="213833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050296">
      <w:bodyDiv w:val="1"/>
      <w:marLeft w:val="0"/>
      <w:marRight w:val="0"/>
      <w:marTop w:val="0"/>
      <w:marBottom w:val="0"/>
      <w:divBdr>
        <w:top w:val="none" w:sz="0" w:space="0" w:color="auto"/>
        <w:left w:val="none" w:sz="0" w:space="0" w:color="auto"/>
        <w:bottom w:val="none" w:sz="0" w:space="0" w:color="auto"/>
        <w:right w:val="none" w:sz="0" w:space="0" w:color="auto"/>
      </w:divBdr>
      <w:divsChild>
        <w:div w:id="535776524">
          <w:marLeft w:val="0"/>
          <w:marRight w:val="0"/>
          <w:marTop w:val="0"/>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3gpp.org/tsg_geran/TSG_GERAN/GERAN_60_Zhuhai/Docs/GP-140192.zip" TargetMode="External"/><Relationship Id="rId18" Type="http://schemas.openxmlformats.org/officeDocument/2006/relationships/hyperlink" Target="ftp://www.3gpp.org/tsg_geran/TSG_GERAN/GERAN_60_Zhuhai/Docs/GP-140192.zip" TargetMode="External"/><Relationship Id="rId26" Type="http://schemas.openxmlformats.org/officeDocument/2006/relationships/hyperlink" Target="ftp://www.3gpp.org/tsg_geran/TSG_GERAN/GERAN_60_Zhuhai/Docs/GP-140192.zip" TargetMode="External"/><Relationship Id="rId39"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ftp://www.3gpp.org/tsg_geran/TSG_GERAN/GERAN_60_Zhuhai/Docs/GP-140192.zip" TargetMode="External"/><Relationship Id="rId34" Type="http://schemas.openxmlformats.org/officeDocument/2006/relationships/hyperlink" Target="ftp://www.3gpp.org/tsg_geran/TSG_GERAN/GERAN_60_Zhuhai/Docs/GP-140192.zip" TargetMode="External"/><Relationship Id="rId42" Type="http://schemas.openxmlformats.org/officeDocument/2006/relationships/image" Target="media/image6.png"/><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tp://www.3gpp.org/tsg_geran/TSG_GERAN/GERAN_60_Zhuhai/Docs/GP-140192.zip" TargetMode="External"/><Relationship Id="rId17" Type="http://schemas.openxmlformats.org/officeDocument/2006/relationships/hyperlink" Target="ftp://www.3gpp.org/tsg_geran/TSG_GERAN/GERAN_60_Zhuhai/Docs/GP-140192.zip" TargetMode="External"/><Relationship Id="rId25" Type="http://schemas.openxmlformats.org/officeDocument/2006/relationships/hyperlink" Target="ftp://www.3gpp.org/tsg_geran/TSG_GERAN/GERAN_60_Zhuhai/Docs/GP-140192.zip" TargetMode="External"/><Relationship Id="rId33" Type="http://schemas.openxmlformats.org/officeDocument/2006/relationships/hyperlink" Target="ftp://www.3gpp.org/tsg_geran/TSG_GERAN/GERAN_60_Zhuhai/Docs/GP-140192.zip" TargetMode="External"/><Relationship Id="rId38" Type="http://schemas.openxmlformats.org/officeDocument/2006/relationships/image" Target="media/image2.png"/><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tp://www.3gpp.org/tsg_geran/TSG_GERAN/GERAN_60_Zhuhai/Docs/GP-140192.zip" TargetMode="External"/><Relationship Id="rId20" Type="http://schemas.openxmlformats.org/officeDocument/2006/relationships/hyperlink" Target="ftp://www.3gpp.org/tsg_geran/TSG_GERAN/GERAN_60_Zhuhai/Docs/GP-140192.zip" TargetMode="External"/><Relationship Id="rId29" Type="http://schemas.openxmlformats.org/officeDocument/2006/relationships/hyperlink" Target="ftp://www.3gpp.org/tsg_geran/TSG_GERAN/GERAN_60_Zhuhai/Docs/GP-140192.zip" TargetMode="Externa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www.3gpp.org/tsg_geran/TSG_GERAN/GERAN_60_Zhuhai/Docs/GP-140192.zip" TargetMode="External"/><Relationship Id="rId24" Type="http://schemas.openxmlformats.org/officeDocument/2006/relationships/hyperlink" Target="ftp://www.3gpp.org/tsg_geran/TSG_GERAN/GERAN_60_Zhuhai/Docs/GP-140192.zip" TargetMode="External"/><Relationship Id="rId32" Type="http://schemas.openxmlformats.org/officeDocument/2006/relationships/hyperlink" Target="ftp://www.3gpp.org/tsg_geran/TSG_GERAN/GERAN_60_Zhuhai/Docs/GP-140192.zip" TargetMode="External"/><Relationship Id="rId37" Type="http://schemas.openxmlformats.org/officeDocument/2006/relationships/image" Target="media/image1.png"/><Relationship Id="rId40" Type="http://schemas.openxmlformats.org/officeDocument/2006/relationships/image" Target="media/image4.png"/><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ftp://www.3gpp.org/tsg_geran/TSG_GERAN/GERAN_60_Zhuhai/Docs/GP-140192.zip" TargetMode="External"/><Relationship Id="rId23" Type="http://schemas.openxmlformats.org/officeDocument/2006/relationships/hyperlink" Target="ftp://www.3gpp.org/tsg_geran/TSG_GERAN/GERAN_60_Zhuhai/Docs/GP-140192.zip" TargetMode="External"/><Relationship Id="rId28" Type="http://schemas.openxmlformats.org/officeDocument/2006/relationships/hyperlink" Target="ftp://www.3gpp.org/tsg_geran/TSG_GERAN/GERAN_60_Zhuhai/Docs/GP-140192.zip" TargetMode="External"/><Relationship Id="rId36" Type="http://schemas.openxmlformats.org/officeDocument/2006/relationships/hyperlink" Target="ftp://www.3gpp.org/tsg_geran/TSG_GERAN/GERAN_60_Zhuhai/Docs/GP-131139.zip" TargetMode="External"/><Relationship Id="rId10" Type="http://schemas.openxmlformats.org/officeDocument/2006/relationships/hyperlink" Target="ftp://www.3gpp.org/tsg_geran/TSG_GERAN/GERAN_60_Zhuhai/Docs/GP-140192.zip" TargetMode="External"/><Relationship Id="rId19" Type="http://schemas.openxmlformats.org/officeDocument/2006/relationships/hyperlink" Target="ftp://www.3gpp.org/tsg_geran/TSG_GERAN/GERAN_60_Zhuhai/Docs/GP-140192.zip" TargetMode="External"/><Relationship Id="rId31" Type="http://schemas.openxmlformats.org/officeDocument/2006/relationships/hyperlink" Target="ftp://www.3gpp.org/tsg_geran/TSG_GERAN/GERAN_60_Zhuhai/Docs/GP-140192.zip"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tp://www.3gpp.org/tsg_geran/TSG_GERAN/GERAN_60_Zhuhai/Docs/GP-140192.zip" TargetMode="External"/><Relationship Id="rId14" Type="http://schemas.openxmlformats.org/officeDocument/2006/relationships/hyperlink" Target="ftp://www.3gpp.org/tsg_geran/TSG_GERAN/GERAN_60_Zhuhai/Docs/GP-140192.zip" TargetMode="External"/><Relationship Id="rId22" Type="http://schemas.openxmlformats.org/officeDocument/2006/relationships/hyperlink" Target="ftp://www.3gpp.org/tsg_geran/TSG_GERAN/GERAN_60_Zhuhai/Docs/GP-140192.zip" TargetMode="External"/><Relationship Id="rId27" Type="http://schemas.openxmlformats.org/officeDocument/2006/relationships/hyperlink" Target="ftp://www.3gpp.org/tsg_geran/TSG_GERAN/GERAN_60_Zhuhai/Docs/GP-140192.zip" TargetMode="External"/><Relationship Id="rId30" Type="http://schemas.openxmlformats.org/officeDocument/2006/relationships/hyperlink" Target="ftp://www.3gpp.org/tsg_geran/TSG_GERAN/GERAN_60_Zhuhai/Docs/GP-140192.zip" TargetMode="External"/><Relationship Id="rId35" Type="http://schemas.openxmlformats.org/officeDocument/2006/relationships/hyperlink" Target="ftp://www.3gpp.org/tsg_geran/TSG_GERAN/GERAN_61_Sophia_Antipolis/Docs/GP-140141.zip" TargetMode="External"/><Relationship Id="rId43" Type="http://schemas.openxmlformats.org/officeDocument/2006/relationships/header" Target="head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2C789-916C-4B2D-A855-8F869EA7F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2073</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13863</CharactersWithSpaces>
  <SharedDoc>false</SharedDoc>
  <HLinks>
    <vt:vector size="168" baseType="variant">
      <vt:variant>
        <vt:i4>7340084</vt:i4>
      </vt:variant>
      <vt:variant>
        <vt:i4>81</vt:i4>
      </vt:variant>
      <vt:variant>
        <vt:i4>0</vt:i4>
      </vt:variant>
      <vt:variant>
        <vt:i4>5</vt:i4>
      </vt:variant>
      <vt:variant>
        <vt:lpwstr>ftp://www.3gpp.org/tsg_geran/TSG_GERAN/GERAN_60_Zhuhai/Docs/GP-131139.zip</vt:lpwstr>
      </vt:variant>
      <vt:variant>
        <vt:lpwstr/>
      </vt:variant>
      <vt:variant>
        <vt:i4>196704</vt:i4>
      </vt:variant>
      <vt:variant>
        <vt:i4>78</vt:i4>
      </vt:variant>
      <vt:variant>
        <vt:i4>0</vt:i4>
      </vt:variant>
      <vt:variant>
        <vt:i4>5</vt:i4>
      </vt:variant>
      <vt:variant>
        <vt:lpwstr>ftp://www.3gpp.org/tsg_geran/TSG_GERAN/GERAN_61_Sophia_Antipolis/Docs/GP-140141.zip</vt:lpwstr>
      </vt:variant>
      <vt:variant>
        <vt:lpwstr/>
      </vt:variant>
      <vt:variant>
        <vt:i4>8060984</vt:i4>
      </vt:variant>
      <vt:variant>
        <vt:i4>75</vt:i4>
      </vt:variant>
      <vt:variant>
        <vt:i4>0</vt:i4>
      </vt:variant>
      <vt:variant>
        <vt:i4>5</vt:i4>
      </vt:variant>
      <vt:variant>
        <vt:lpwstr>ftp://www.3gpp.org/tsg_geran/TSG_GERAN/GERAN_60_Zhuhai/Docs/GP-140192.zip</vt:lpwstr>
      </vt:variant>
      <vt:variant>
        <vt:lpwstr/>
      </vt:variant>
      <vt:variant>
        <vt:i4>8060984</vt:i4>
      </vt:variant>
      <vt:variant>
        <vt:i4>72</vt:i4>
      </vt:variant>
      <vt:variant>
        <vt:i4>0</vt:i4>
      </vt:variant>
      <vt:variant>
        <vt:i4>5</vt:i4>
      </vt:variant>
      <vt:variant>
        <vt:lpwstr>ftp://www.3gpp.org/tsg_geran/TSG_GERAN/GERAN_60_Zhuhai/Docs/GP-140192.zip</vt:lpwstr>
      </vt:variant>
      <vt:variant>
        <vt:lpwstr/>
      </vt:variant>
      <vt:variant>
        <vt:i4>8060984</vt:i4>
      </vt:variant>
      <vt:variant>
        <vt:i4>69</vt:i4>
      </vt:variant>
      <vt:variant>
        <vt:i4>0</vt:i4>
      </vt:variant>
      <vt:variant>
        <vt:i4>5</vt:i4>
      </vt:variant>
      <vt:variant>
        <vt:lpwstr>ftp://www.3gpp.org/tsg_geran/TSG_GERAN/GERAN_60_Zhuhai/Docs/GP-140192.zip</vt:lpwstr>
      </vt:variant>
      <vt:variant>
        <vt:lpwstr/>
      </vt:variant>
      <vt:variant>
        <vt:i4>8060984</vt:i4>
      </vt:variant>
      <vt:variant>
        <vt:i4>66</vt:i4>
      </vt:variant>
      <vt:variant>
        <vt:i4>0</vt:i4>
      </vt:variant>
      <vt:variant>
        <vt:i4>5</vt:i4>
      </vt:variant>
      <vt:variant>
        <vt:lpwstr>ftp://www.3gpp.org/tsg_geran/TSG_GERAN/GERAN_60_Zhuhai/Docs/GP-140192.zip</vt:lpwstr>
      </vt:variant>
      <vt:variant>
        <vt:lpwstr/>
      </vt:variant>
      <vt:variant>
        <vt:i4>8060984</vt:i4>
      </vt:variant>
      <vt:variant>
        <vt:i4>63</vt:i4>
      </vt:variant>
      <vt:variant>
        <vt:i4>0</vt:i4>
      </vt:variant>
      <vt:variant>
        <vt:i4>5</vt:i4>
      </vt:variant>
      <vt:variant>
        <vt:lpwstr>ftp://www.3gpp.org/tsg_geran/TSG_GERAN/GERAN_60_Zhuhai/Docs/GP-140192.zip</vt:lpwstr>
      </vt:variant>
      <vt:variant>
        <vt:lpwstr/>
      </vt:variant>
      <vt:variant>
        <vt:i4>8060984</vt:i4>
      </vt:variant>
      <vt:variant>
        <vt:i4>60</vt:i4>
      </vt:variant>
      <vt:variant>
        <vt:i4>0</vt:i4>
      </vt:variant>
      <vt:variant>
        <vt:i4>5</vt:i4>
      </vt:variant>
      <vt:variant>
        <vt:lpwstr>ftp://www.3gpp.org/tsg_geran/TSG_GERAN/GERAN_60_Zhuhai/Docs/GP-140192.zip</vt:lpwstr>
      </vt:variant>
      <vt:variant>
        <vt:lpwstr/>
      </vt:variant>
      <vt:variant>
        <vt:i4>8060984</vt:i4>
      </vt:variant>
      <vt:variant>
        <vt:i4>57</vt:i4>
      </vt:variant>
      <vt:variant>
        <vt:i4>0</vt:i4>
      </vt:variant>
      <vt:variant>
        <vt:i4>5</vt:i4>
      </vt:variant>
      <vt:variant>
        <vt:lpwstr>ftp://www.3gpp.org/tsg_geran/TSG_GERAN/GERAN_60_Zhuhai/Docs/GP-140192.zip</vt:lpwstr>
      </vt:variant>
      <vt:variant>
        <vt:lpwstr/>
      </vt:variant>
      <vt:variant>
        <vt:i4>8060984</vt:i4>
      </vt:variant>
      <vt:variant>
        <vt:i4>54</vt:i4>
      </vt:variant>
      <vt:variant>
        <vt:i4>0</vt:i4>
      </vt:variant>
      <vt:variant>
        <vt:i4>5</vt:i4>
      </vt:variant>
      <vt:variant>
        <vt:lpwstr>ftp://www.3gpp.org/tsg_geran/TSG_GERAN/GERAN_60_Zhuhai/Docs/GP-140192.zip</vt:lpwstr>
      </vt:variant>
      <vt:variant>
        <vt:lpwstr/>
      </vt:variant>
      <vt:variant>
        <vt:i4>8060984</vt:i4>
      </vt:variant>
      <vt:variant>
        <vt:i4>51</vt:i4>
      </vt:variant>
      <vt:variant>
        <vt:i4>0</vt:i4>
      </vt:variant>
      <vt:variant>
        <vt:i4>5</vt:i4>
      </vt:variant>
      <vt:variant>
        <vt:lpwstr>ftp://www.3gpp.org/tsg_geran/TSG_GERAN/GERAN_60_Zhuhai/Docs/GP-140192.zip</vt:lpwstr>
      </vt:variant>
      <vt:variant>
        <vt:lpwstr/>
      </vt:variant>
      <vt:variant>
        <vt:i4>8060984</vt:i4>
      </vt:variant>
      <vt:variant>
        <vt:i4>48</vt:i4>
      </vt:variant>
      <vt:variant>
        <vt:i4>0</vt:i4>
      </vt:variant>
      <vt:variant>
        <vt:i4>5</vt:i4>
      </vt:variant>
      <vt:variant>
        <vt:lpwstr>ftp://www.3gpp.org/tsg_geran/TSG_GERAN/GERAN_60_Zhuhai/Docs/GP-140192.zip</vt:lpwstr>
      </vt:variant>
      <vt:variant>
        <vt:lpwstr/>
      </vt:variant>
      <vt:variant>
        <vt:i4>8060984</vt:i4>
      </vt:variant>
      <vt:variant>
        <vt:i4>45</vt:i4>
      </vt:variant>
      <vt:variant>
        <vt:i4>0</vt:i4>
      </vt:variant>
      <vt:variant>
        <vt:i4>5</vt:i4>
      </vt:variant>
      <vt:variant>
        <vt:lpwstr>ftp://www.3gpp.org/tsg_geran/TSG_GERAN/GERAN_60_Zhuhai/Docs/GP-140192.zip</vt:lpwstr>
      </vt:variant>
      <vt:variant>
        <vt:lpwstr/>
      </vt:variant>
      <vt:variant>
        <vt:i4>8060984</vt:i4>
      </vt:variant>
      <vt:variant>
        <vt:i4>42</vt:i4>
      </vt:variant>
      <vt:variant>
        <vt:i4>0</vt:i4>
      </vt:variant>
      <vt:variant>
        <vt:i4>5</vt:i4>
      </vt:variant>
      <vt:variant>
        <vt:lpwstr>ftp://www.3gpp.org/tsg_geran/TSG_GERAN/GERAN_60_Zhuhai/Docs/GP-140192.zip</vt:lpwstr>
      </vt:variant>
      <vt:variant>
        <vt:lpwstr/>
      </vt:variant>
      <vt:variant>
        <vt:i4>8060984</vt:i4>
      </vt:variant>
      <vt:variant>
        <vt:i4>39</vt:i4>
      </vt:variant>
      <vt:variant>
        <vt:i4>0</vt:i4>
      </vt:variant>
      <vt:variant>
        <vt:i4>5</vt:i4>
      </vt:variant>
      <vt:variant>
        <vt:lpwstr>ftp://www.3gpp.org/tsg_geran/TSG_GERAN/GERAN_60_Zhuhai/Docs/GP-140192.zip</vt:lpwstr>
      </vt:variant>
      <vt:variant>
        <vt:lpwstr/>
      </vt:variant>
      <vt:variant>
        <vt:i4>8060984</vt:i4>
      </vt:variant>
      <vt:variant>
        <vt:i4>36</vt:i4>
      </vt:variant>
      <vt:variant>
        <vt:i4>0</vt:i4>
      </vt:variant>
      <vt:variant>
        <vt:i4>5</vt:i4>
      </vt:variant>
      <vt:variant>
        <vt:lpwstr>ftp://www.3gpp.org/tsg_geran/TSG_GERAN/GERAN_60_Zhuhai/Docs/GP-140192.zip</vt:lpwstr>
      </vt:variant>
      <vt:variant>
        <vt:lpwstr/>
      </vt:variant>
      <vt:variant>
        <vt:i4>8060984</vt:i4>
      </vt:variant>
      <vt:variant>
        <vt:i4>33</vt:i4>
      </vt:variant>
      <vt:variant>
        <vt:i4>0</vt:i4>
      </vt:variant>
      <vt:variant>
        <vt:i4>5</vt:i4>
      </vt:variant>
      <vt:variant>
        <vt:lpwstr>ftp://www.3gpp.org/tsg_geran/TSG_GERAN/GERAN_60_Zhuhai/Docs/GP-140192.zip</vt:lpwstr>
      </vt:variant>
      <vt:variant>
        <vt:lpwstr/>
      </vt:variant>
      <vt:variant>
        <vt:i4>8060984</vt:i4>
      </vt:variant>
      <vt:variant>
        <vt:i4>30</vt:i4>
      </vt:variant>
      <vt:variant>
        <vt:i4>0</vt:i4>
      </vt:variant>
      <vt:variant>
        <vt:i4>5</vt:i4>
      </vt:variant>
      <vt:variant>
        <vt:lpwstr>ftp://www.3gpp.org/tsg_geran/TSG_GERAN/GERAN_60_Zhuhai/Docs/GP-140192.zip</vt:lpwstr>
      </vt:variant>
      <vt:variant>
        <vt:lpwstr/>
      </vt:variant>
      <vt:variant>
        <vt:i4>8060984</vt:i4>
      </vt:variant>
      <vt:variant>
        <vt:i4>27</vt:i4>
      </vt:variant>
      <vt:variant>
        <vt:i4>0</vt:i4>
      </vt:variant>
      <vt:variant>
        <vt:i4>5</vt:i4>
      </vt:variant>
      <vt:variant>
        <vt:lpwstr>ftp://www.3gpp.org/tsg_geran/TSG_GERAN/GERAN_60_Zhuhai/Docs/GP-140192.zip</vt:lpwstr>
      </vt:variant>
      <vt:variant>
        <vt:lpwstr/>
      </vt:variant>
      <vt:variant>
        <vt:i4>8060984</vt:i4>
      </vt:variant>
      <vt:variant>
        <vt:i4>24</vt:i4>
      </vt:variant>
      <vt:variant>
        <vt:i4>0</vt:i4>
      </vt:variant>
      <vt:variant>
        <vt:i4>5</vt:i4>
      </vt:variant>
      <vt:variant>
        <vt:lpwstr>ftp://www.3gpp.org/tsg_geran/TSG_GERAN/GERAN_60_Zhuhai/Docs/GP-140192.zip</vt:lpwstr>
      </vt:variant>
      <vt:variant>
        <vt:lpwstr/>
      </vt:variant>
      <vt:variant>
        <vt:i4>8060984</vt:i4>
      </vt:variant>
      <vt:variant>
        <vt:i4>21</vt:i4>
      </vt:variant>
      <vt:variant>
        <vt:i4>0</vt:i4>
      </vt:variant>
      <vt:variant>
        <vt:i4>5</vt:i4>
      </vt:variant>
      <vt:variant>
        <vt:lpwstr>ftp://www.3gpp.org/tsg_geran/TSG_GERAN/GERAN_60_Zhuhai/Docs/GP-140192.zip</vt:lpwstr>
      </vt:variant>
      <vt:variant>
        <vt:lpwstr/>
      </vt:variant>
      <vt:variant>
        <vt:i4>8060984</vt:i4>
      </vt:variant>
      <vt:variant>
        <vt:i4>18</vt:i4>
      </vt:variant>
      <vt:variant>
        <vt:i4>0</vt:i4>
      </vt:variant>
      <vt:variant>
        <vt:i4>5</vt:i4>
      </vt:variant>
      <vt:variant>
        <vt:lpwstr>ftp://www.3gpp.org/tsg_geran/TSG_GERAN/GERAN_60_Zhuhai/Docs/GP-140192.zip</vt:lpwstr>
      </vt:variant>
      <vt:variant>
        <vt:lpwstr/>
      </vt:variant>
      <vt:variant>
        <vt:i4>8060984</vt:i4>
      </vt:variant>
      <vt:variant>
        <vt:i4>15</vt:i4>
      </vt:variant>
      <vt:variant>
        <vt:i4>0</vt:i4>
      </vt:variant>
      <vt:variant>
        <vt:i4>5</vt:i4>
      </vt:variant>
      <vt:variant>
        <vt:lpwstr>ftp://www.3gpp.org/tsg_geran/TSG_GERAN/GERAN_60_Zhuhai/Docs/GP-140192.zip</vt:lpwstr>
      </vt:variant>
      <vt:variant>
        <vt:lpwstr/>
      </vt:variant>
      <vt:variant>
        <vt:i4>8060984</vt:i4>
      </vt:variant>
      <vt:variant>
        <vt:i4>12</vt:i4>
      </vt:variant>
      <vt:variant>
        <vt:i4>0</vt:i4>
      </vt:variant>
      <vt:variant>
        <vt:i4>5</vt:i4>
      </vt:variant>
      <vt:variant>
        <vt:lpwstr>ftp://www.3gpp.org/tsg_geran/TSG_GERAN/GERAN_60_Zhuhai/Docs/GP-140192.zip</vt:lpwstr>
      </vt:variant>
      <vt:variant>
        <vt:lpwstr/>
      </vt:variant>
      <vt:variant>
        <vt:i4>8060984</vt:i4>
      </vt:variant>
      <vt:variant>
        <vt:i4>9</vt:i4>
      </vt:variant>
      <vt:variant>
        <vt:i4>0</vt:i4>
      </vt:variant>
      <vt:variant>
        <vt:i4>5</vt:i4>
      </vt:variant>
      <vt:variant>
        <vt:lpwstr>ftp://www.3gpp.org/tsg_geran/TSG_GERAN/GERAN_60_Zhuhai/Docs/GP-140192.zip</vt:lpwstr>
      </vt:variant>
      <vt:variant>
        <vt:lpwstr/>
      </vt:variant>
      <vt:variant>
        <vt:i4>8060984</vt:i4>
      </vt:variant>
      <vt:variant>
        <vt:i4>6</vt:i4>
      </vt:variant>
      <vt:variant>
        <vt:i4>0</vt:i4>
      </vt:variant>
      <vt:variant>
        <vt:i4>5</vt:i4>
      </vt:variant>
      <vt:variant>
        <vt:lpwstr>ftp://www.3gpp.org/tsg_geran/TSG_GERAN/GERAN_60_Zhuhai/Docs/GP-140192.zip</vt:lpwstr>
      </vt:variant>
      <vt:variant>
        <vt:lpwstr/>
      </vt:variant>
      <vt:variant>
        <vt:i4>8060984</vt:i4>
      </vt:variant>
      <vt:variant>
        <vt:i4>3</vt:i4>
      </vt:variant>
      <vt:variant>
        <vt:i4>0</vt:i4>
      </vt:variant>
      <vt:variant>
        <vt:i4>5</vt:i4>
      </vt:variant>
      <vt:variant>
        <vt:lpwstr>ftp://www.3gpp.org/tsg_geran/TSG_GERAN/GERAN_60_Zhuhai/Docs/GP-140192.zip</vt:lpwstr>
      </vt:variant>
      <vt:variant>
        <vt:lpwstr/>
      </vt:variant>
      <vt:variant>
        <vt:i4>8060984</vt:i4>
      </vt:variant>
      <vt:variant>
        <vt:i4>0</vt:i4>
      </vt:variant>
      <vt:variant>
        <vt:i4>0</vt:i4>
      </vt:variant>
      <vt:variant>
        <vt:i4>5</vt:i4>
      </vt:variant>
      <vt:variant>
        <vt:lpwstr>ftp://www.3gpp.org/tsg_geran/TSG_GERAN/GERAN_60_Zhuhai/Docs/GP-140192.zip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17</cp:revision>
  <cp:lastPrinted>2011-06-23T17:09:00Z</cp:lastPrinted>
  <dcterms:created xsi:type="dcterms:W3CDTF">2014-05-20T17:15:00Z</dcterms:created>
  <dcterms:modified xsi:type="dcterms:W3CDTF">2014-05-20T23:41:00Z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